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hu-HU"/>
        </w:rPr>
        <w:t>Dr.</w:t>
      </w:r>
      <w:proofErr w:type="spellEnd"/>
      <w:r w:rsidRPr="00F752FA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hu-HU"/>
        </w:rPr>
        <w:t xml:space="preserve"> Barthó </w:t>
      </w:r>
      <w:proofErr w:type="spellStart"/>
      <w:r w:rsidRPr="00F752FA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hu-HU"/>
        </w:rPr>
        <w:t>Loránd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Szül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Salgótarján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1948.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nov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23.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Munkahelye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Tudományegyetem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Általános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Kar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Farmakoterápiai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intézetvezető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Gyógyszerhatástani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Tanszék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tanszékvezető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Életútja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: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1967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Érettségi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Budapesti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Eötvös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József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Gimnáziumban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1967-1973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Tanulmányok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Általános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Karán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diákköri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munka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Kórélettani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Intézetben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Intézetben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1973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diploma (dipl. sz.69-20/1973);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munkaviszony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kezdete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Intézetében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1973-1996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ösztöndíjas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tanársegéd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adjunktus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docens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1977: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laboratóriumi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szakorvosi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szakvizsga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.: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55/1977)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1996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-tól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tanár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2003−2013: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 PTE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ÁOK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Farmakoterápiai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2003−2011: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Gyógyszerhatástani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Tanszék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vezetője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témák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capsaicin-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érzékeny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érzéketlen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nem-adrenerg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nem-cholinerg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peptiderg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nitrerg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purinerg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simaizom-válaszok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kimutatása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modulációja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izotóppal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jelölt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acetil-kolin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felszabadulásának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vizsgálata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simaizom-ideg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preparátumokban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bélhuzam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intrinsic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reflexei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antidromos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vasodilatatio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neurogén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gyulladás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befolyásolása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in vivo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in vitro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tesztek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potenciális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új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állatkísérletes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kipróbálására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Részvétel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setastin-hydrochlorid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Loderix</w:t>
      </w:r>
      <w:proofErr w:type="spellEnd"/>
      <w:r w:rsidRPr="00F752FA">
        <w:rPr>
          <w:rFonts w:ascii="Symbol" w:eastAsia="Times New Roman" w:hAnsi="Symbol" w:cs="Times New Roman"/>
          <w:sz w:val="24"/>
          <w:szCs w:val="20"/>
          <w:lang w:val="en-GB" w:eastAsia="hu-HU"/>
        </w:rPr>
        <w:sym w:font="Symbol" w:char="F0D2"/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antihisztamin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kifejlesztésében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(ld.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Pórszász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mtsai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1990).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1985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orvostudomány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kandidátusa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értekezés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címe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Perifériás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peptiderg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neuronok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farmakológiája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szerepe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bélmotilitás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szabályozásában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”.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PhD-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okl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száma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117-1/1994.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1995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Habilitáció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Oklevél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118-2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./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1995.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Kelte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1995.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márc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20.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Tudományága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orvostudomány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1997-2001.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Széchenyi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Professzori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Ösztöndíj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lastRenderedPageBreak/>
        <w:t>2001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MTA-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pályázat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sikeres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megvédése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értekezés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címe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Nem-adrenerg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nem-kolinerg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(NANC)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idegek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ingerületátvivő-anyagok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szerepe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zsigeri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szervek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bőr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válaszreakcióiban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2002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MTA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doktora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Belföldi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tanulmányutak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MTA-SZBK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Biofizikai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Szeged; MTA-KOKI, Budapest 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Hosszabb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külföldi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tanulmányutak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Graz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Ausztria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Grazi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Int.); </w:t>
      </w: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Bad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Nauheim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NSZK (Max-Planck-Inst.,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Kerckhoff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-Inst.);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Planegg-Martinsried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NSZK (Max-Planck-Inst.,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); </w:t>
      </w: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Firenze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Olaszország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(A.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Menarini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Laboratóriumok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Int.);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Genti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Int. (J.C. Heymans-Int.), </w:t>
      </w:r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Gent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Belgium 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Társasági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tagság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Élettani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Társaság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(MÉT),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Társaság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(MFT),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Idegtudományi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Társaság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(MITT), European Neuropeptide Club, FENS, British Pharmacological Society, Austrian Neuroscience Society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Társasági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vezetőségi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tagság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Társaság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(1995-től)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Szakmai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elismerések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ab/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Issekutz-díj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Társaság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2002)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left="2268" w:firstLine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Jancsó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Miklós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Emlékérem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(2007)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munka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Témák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ld.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fent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Publikációs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aktivitás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117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közlemény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idegélettani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szaklapokban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ilyen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tárgyú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könyvekben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Összesített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IF 240.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(A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munkákra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kapott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idézetek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2400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felett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Kongresszusi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szereplés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idegtudományi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gyógyszerészeti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kongresszusokon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való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részvétel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Szakértői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tevékenység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rendszeres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bírálatok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European Journal of Pharmacology, British Journal of Pharmacology, Life Sciences,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Naunyn-Schmiedeberg’s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Arch.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Pharmacol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Neurogastroenterology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and Motility, Brain Research Bulletin, Neurochemistry International,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Acta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Biologica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Hungarica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OTKA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számára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(1995-1997,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majd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2000-2002, 2006-2008: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OTKA “Ember-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idegtudományok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szakzsűri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1996-1998: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Élettudományi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Szakkollégium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).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Egészségügyi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(ETT):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1999−2012.: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III.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Klinikai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Kísérletes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Kábítószer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Gyógyszerfüggőség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Bírálatok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TMB / MTA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Tanácsa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számára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 2011-től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MTA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Osztálya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Elméleti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Orvostudományi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lastRenderedPageBreak/>
        <w:t>Bírálatok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esetenként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Oktatásügyi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Minisztérium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Kutatásszervezési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Főosztálya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Széchenyi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István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Kuratórium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Digestive Diseases and Sciences, Regulatory Peptides, Journal of Autonomic Pharmacology, Regulatory Peptides,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Wellcome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Trust,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Hetilap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Acta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Physiol. Hung.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stb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számára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Habilitációs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értekezés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bírálata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Grazi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Habilitációs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Bizottságának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felkérésére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Promóciós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pályázat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véleményezése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Baylor Coll. (Houston, TX)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számára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Folyóirat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szerkesztőbizottsági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tagság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European Journal of Pharmacology, 1994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óta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; British Journal of Pharmacology, 2002-2005; Life Sciences, 2006-2010.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Kongresszus-szervezői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munka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2006: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MFT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vándorgyűlésének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szervezője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(A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Experimentális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II.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Tavaszi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Szimpóziuma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). 2011: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közös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MÉT-MFT-MAT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vándorgyűlés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szervezője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részről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folyamatban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Szimpózium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társszervezője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MFT 50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jubileumi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kongresszuson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(Budapest, 2012).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Részvétel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Peptidergic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and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Purinergic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Transmission” IBRO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szatellita-szimpózium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1987.,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valamint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“6</w:t>
      </w:r>
      <w:r w:rsidRPr="00F752FA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u-HU"/>
        </w:rPr>
        <w:t>th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Joint Meeting of the Hungarian, Italian and Polish Pharmacological Societies,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1996.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június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szervezésében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helyi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szervezőbizottság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“6</w:t>
      </w:r>
      <w:r w:rsidRPr="00F752FA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u-HU"/>
        </w:rPr>
        <w:t>th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Annual Meeting of the European Neuropeptide Club,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1996.”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kongresszuson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Témavezetőként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elnyert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kutatási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támogatások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számos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ETT, OTKA,  FKFP, </w:t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OMFB (OM)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műszerpályázat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Osztrák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-Magyar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Akcióalapítvány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Résztvevő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támogatott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kutatási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témában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témavezetők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Szolcsányi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János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Pethő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Gábor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Pintér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Erika)</w:t>
      </w:r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Altémavezető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Jedlik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K+F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pályázatban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(2005-2007;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témavezető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Haskó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György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Baross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Gábor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Program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támogatott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kutatásben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témavezetők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Pintér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Erika,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Sebők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Béla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).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A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kutatások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összefoglaló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tematikája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: a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kellemetlen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, ill.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veszélyes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objektív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szubjektív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tünetekkel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járó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zsigeri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hiperreaktivitások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gyulladásos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bélbetegségek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irritábilis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bél-szindróma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légúti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húgyúti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hiperreaktivitás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)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rájuk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ható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gyógyszerek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mechanizmusának</w:t>
      </w:r>
      <w:proofErr w:type="spellEnd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i/>
          <w:sz w:val="24"/>
          <w:szCs w:val="20"/>
          <w:lang w:val="en-GB" w:eastAsia="hu-HU"/>
        </w:rPr>
        <w:t>vizsgálata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u-HU"/>
        </w:rPr>
        <w:t>Oktatási</w:t>
      </w:r>
      <w:proofErr w:type="spellEnd"/>
      <w:r w:rsidRPr="00F752F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u-HU"/>
        </w:rPr>
        <w:t>tevékenység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Előadások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szemináriumok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tartása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vizsgáztatás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magyar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angol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német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nyelven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orvos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-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fogorvostan-hallgatók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Angol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oktatási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felelős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(1994-2002).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Kreditpontos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speciális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kollégium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ill.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fak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tantárgy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magyarul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angolul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németül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Gombamérgezések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), ill.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ilyenben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való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közreműködés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Toxikológia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Neurotranszmitterek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Diákköri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témavezetés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számos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TDK-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kongresszusi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szereplés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díjazott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pályamunkák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); TDK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kongresszusi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lastRenderedPageBreak/>
        <w:t>zsűrizés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pályamunkák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államvizsgadolgozatok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konzultánsi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bírálói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teendői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Elnökként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közreműködés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felvételi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vizsgákon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Diákköri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fölterjesztésére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1988-ban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miniszteri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dícséret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dícséret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1993, 1994, 1998.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Volt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diákkörösei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közül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hét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minősítést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szerzett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A PTE ÁOK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Gyógyszerésztudományi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akkreditációs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anyagának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kidolgozásában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való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közreműködés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Gyógyszerhatástan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tantárgy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tananyagának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előkészítése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oktatás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2003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2011.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közt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Farmakoterápiai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Intézeten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belül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működő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Gyógyszerhatástani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Tanszék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2011-ig.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Részvétel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gyógyszerész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rezidensek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képzésében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PhD-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témavezetés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(prof.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Szolcsányi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János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Neurofarmakológia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programján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majd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Gyógyszertudományok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iskolán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belül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programvezetés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(2003-tól).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Négy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hallgató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sikeres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védése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: 2000, 2002, 2007, 2009.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2005-től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Gyógyszertudományok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iskola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vezetése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Fejezetek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írása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Vizi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E.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Szilveszter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akadémikus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szerkesztett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Humán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 c.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tankönyvbe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Gyires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Klára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–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Fürst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Zsuzsanna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később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mellettük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Ferdinandy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Péter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szerkesztett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Gyógyszertan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tankönyvbe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Farmakoterápiai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kiadott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“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Általános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farmakológia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”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jegyzetbe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.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jegyzet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3.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kiadásának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szerkesztése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.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Nyelvvizsgák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Állami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Nyelvvizsgabizottság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;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angol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német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középfokú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orosz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alapfokú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nyelvvizsga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közéleti</w:t>
      </w:r>
      <w:proofErr w:type="spellEnd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b/>
          <w:sz w:val="24"/>
          <w:szCs w:val="20"/>
          <w:lang w:val="en-GB" w:eastAsia="hu-HU"/>
        </w:rPr>
        <w:t>tevékenység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1993-94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titkára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1994-96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1996-1998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Orvoskari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2002-től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tanácskozó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2003−2013: a PTE ÁOK Kari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1995-96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1997-1998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Tudományos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1993-tól </w:t>
      </w:r>
      <w:r w:rsidRPr="00F752FA">
        <w:rPr>
          <w:rFonts w:ascii="Symbol" w:eastAsia="Times New Roman" w:hAnsi="Symbol" w:cs="Times New Roman"/>
          <w:sz w:val="24"/>
          <w:szCs w:val="24"/>
          <w:lang w:val="en-GB" w:eastAsia="hu-HU"/>
        </w:rPr>
        <w:sym w:font="Symbol" w:char="F02D"/>
      </w:r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 POTE (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majd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PTE ÁOK)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lapjának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szerkesztése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 2002-től –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Gyógyszerész-képzési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Operatív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2002-2004: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az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Intézményi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Beruházási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Tervbizottság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1996-tól 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Berde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Botond-ösztöndíj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kuratóriumának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gram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Német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Program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2006-2010.</w:t>
      </w:r>
      <w:proofErr w:type="gram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2005−2012: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Habilitációs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Tanács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(2008-tól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). 2010−2012: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az</w:t>
      </w:r>
      <w:proofErr w:type="spellEnd"/>
      <w:proofErr w:type="gram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ÁOK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Doktori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Habilitációs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Bizottságának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tagja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Intézetvezetői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egyetemi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tanári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docensi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pályázatok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rendszeres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véleményezése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PhD-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eljárásokban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való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közreműködés</w:t>
      </w:r>
      <w:proofErr w:type="spell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Állami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kitüntetés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u w:val="single"/>
          <w:lang w:val="en-GB" w:eastAsia="hu-HU"/>
        </w:rPr>
        <w:t>:</w:t>
      </w: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Magyar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Köztársasági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Érdemrend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Tisztikeresztje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, 2013. </w:t>
      </w: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aug.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20.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 </w:t>
      </w:r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Pécs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, 2013.</w:t>
      </w:r>
      <w:proofErr w:type="gramEnd"/>
    </w:p>
    <w:p w:rsidR="00F752FA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 </w:t>
      </w:r>
    </w:p>
    <w:p w:rsidR="001853E1" w:rsidRPr="00F752FA" w:rsidRDefault="00F752FA" w:rsidP="00F752FA">
      <w:pPr>
        <w:spacing w:before="100" w:beforeAutospacing="1" w:after="100" w:afterAutospacing="1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Dr.</w:t>
      </w:r>
      <w:proofErr w:type="spellEnd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Barthó </w:t>
      </w:r>
      <w:proofErr w:type="spellStart"/>
      <w:r w:rsidRPr="00F752FA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Loránd</w:t>
      </w:r>
      <w:bookmarkStart w:id="0" w:name="_GoBack"/>
      <w:bookmarkEnd w:id="0"/>
      <w:proofErr w:type="spellEnd"/>
    </w:p>
    <w:sectPr w:rsidR="001853E1" w:rsidRPr="00F7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FA"/>
    <w:rsid w:val="001853E1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75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752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7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752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75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752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7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752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2013-11-13T06:55:00Z</dcterms:created>
  <dcterms:modified xsi:type="dcterms:W3CDTF">2013-11-13T06:56:00Z</dcterms:modified>
</cp:coreProperties>
</file>