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F9FA" w14:textId="77777777" w:rsidR="0064614A" w:rsidRPr="0064614A" w:rsidRDefault="0064614A" w:rsidP="0064614A">
      <w:pPr>
        <w:pStyle w:val="Cmsor2"/>
        <w:rPr>
          <w:rFonts w:asciiTheme="minorHAnsi" w:hAnsiTheme="minorHAnsi" w:cstheme="minorHAnsi"/>
        </w:rPr>
      </w:pPr>
      <w:proofErr w:type="spellStart"/>
      <w:r w:rsidRPr="0064614A">
        <w:rPr>
          <w:rFonts w:asciiTheme="minorHAnsi" w:hAnsiTheme="minorHAnsi" w:cstheme="minorHAnsi"/>
        </w:rPr>
        <w:t>Prüfungsfragen</w:t>
      </w:r>
      <w:proofErr w:type="spellEnd"/>
    </w:p>
    <w:p w14:paraId="62166946" w14:textId="77777777" w:rsidR="005722D5" w:rsidRDefault="0064614A" w:rsidP="0064614A">
      <w:pPr>
        <w:pStyle w:val="NormlWeb"/>
        <w:rPr>
          <w:rFonts w:asciiTheme="minorHAnsi" w:hAnsiTheme="minorHAnsi" w:cstheme="minorHAnsi"/>
          <w:sz w:val="28"/>
          <w:szCs w:val="28"/>
        </w:rPr>
      </w:pPr>
      <w:r w:rsidRPr="0064614A">
        <w:rPr>
          <w:rFonts w:asciiTheme="minorHAnsi" w:hAnsiTheme="minorHAnsi" w:cstheme="minorHAnsi"/>
        </w:rPr>
        <w:t xml:space="preserve">http://193.6.59.1/trauma </w:t>
      </w:r>
      <w:r w:rsidRPr="0064614A">
        <w:rPr>
          <w:rFonts w:asciiTheme="minorHAnsi" w:hAnsiTheme="minorHAnsi" w:cstheme="minorHAnsi"/>
        </w:rPr>
        <w:br/>
      </w:r>
      <w:r w:rsidRPr="0064614A">
        <w:rPr>
          <w:rFonts w:asciiTheme="minorHAnsi" w:hAnsiTheme="minorHAnsi" w:cstheme="minorHAnsi"/>
        </w:rPr>
        <w:br/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Themenreihe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A</w:t>
      </w:r>
    </w:p>
    <w:p w14:paraId="54957B51" w14:textId="37E7CEE7" w:rsidR="005722D5" w:rsidRDefault="0064614A" w:rsidP="0064614A">
      <w:pPr>
        <w:pStyle w:val="NormlWeb"/>
        <w:rPr>
          <w:rFonts w:asciiTheme="minorHAnsi" w:hAnsiTheme="minorHAnsi" w:cstheme="minorHAnsi"/>
          <w:sz w:val="28"/>
          <w:szCs w:val="28"/>
        </w:rPr>
      </w:pPr>
      <w:r w:rsidRPr="0064614A">
        <w:rPr>
          <w:rFonts w:asciiTheme="minorHAnsi" w:hAnsiTheme="minorHAnsi" w:cstheme="minorHAnsi"/>
          <w:sz w:val="28"/>
          <w:szCs w:val="28"/>
        </w:rPr>
        <w:br/>
        <w:t xml:space="preserve">1.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Ärztliche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erste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Hilfe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. ATLS, TRIAGE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2.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Einteilung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der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Wundarten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Wundbehandlung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Versorgungsmöglichkeiten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bei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Weichteildefekten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.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3.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Frakturformen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Frakturzeichen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und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Klassifikation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nach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AO (Müller)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4.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Offene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Versorgungsregeln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5.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Knochenbruchheilung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Gestörte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Knochenheilung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Pseudoarthrose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6.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Luxationen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Diagnostik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und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Behandlung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von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Gelenkverletzungen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7.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Grundprinzipien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der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konservativen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Frakturbehandlung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8.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Möglichkeiten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der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operativen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Frakturbehandlung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. AO -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Grundlagen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9. Multiplex trauma,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polytrauma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Damage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controll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, ATLS.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10.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Septische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Knochen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- und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Weichteilprozesse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11.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Inaktivitätsatrophie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Morbus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Sudeck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Kompartmentsyndrom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12.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Mikrochirurgie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Replantation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Revaskularisation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>13</w:t>
      </w:r>
      <w:r w:rsidR="00946FA8">
        <w:rPr>
          <w:rFonts w:asciiTheme="minorHAnsi" w:hAnsiTheme="minorHAnsi" w:cstheme="minorHAnsi"/>
          <w:sz w:val="28"/>
          <w:szCs w:val="28"/>
        </w:rPr>
        <w:t>.</w:t>
      </w:r>
      <w:r w:rsidR="00946FA8" w:rsidRPr="0064614A">
        <w:rPr>
          <w:rFonts w:asciiTheme="minorHAnsi" w:hAnsiTheme="minorHAnsi" w:cstheme="minorHAnsi"/>
          <w:sz w:val="28"/>
          <w:szCs w:val="28"/>
        </w:rPr>
        <w:t xml:space="preserve">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14.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Brustkorbverletzungen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15.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Bauchverletzungen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</w:r>
      <w:r w:rsidRPr="0064614A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Themenreihe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B</w:t>
      </w:r>
    </w:p>
    <w:p w14:paraId="4793EEB8" w14:textId="10D19D8A" w:rsidR="0064614A" w:rsidRPr="0064614A" w:rsidRDefault="0064614A" w:rsidP="0064614A">
      <w:pPr>
        <w:pStyle w:val="NormlWeb"/>
        <w:rPr>
          <w:rFonts w:asciiTheme="minorHAnsi" w:hAnsiTheme="minorHAnsi" w:cstheme="minorHAnsi"/>
          <w:sz w:val="28"/>
          <w:szCs w:val="28"/>
        </w:rPr>
      </w:pPr>
      <w:r w:rsidRPr="0064614A">
        <w:rPr>
          <w:rFonts w:asciiTheme="minorHAnsi" w:hAnsiTheme="minorHAnsi" w:cstheme="minorHAnsi"/>
          <w:sz w:val="28"/>
          <w:szCs w:val="28"/>
        </w:rPr>
        <w:br/>
        <w:t xml:space="preserve">1.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Beckenring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- und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Azetabulumfrakturen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2.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Schenkelhalsfrakturen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Hüftkopffrakturen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3.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des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Oberschenkels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4.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Unterschenkelfrakturen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5.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Verletzungen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des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Kniegelenkes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Kniescheibefrakturen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6.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Distale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Schienbeinfrakturen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Verletzungen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des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Sprunggelenkes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7.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Fußverletzungen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Achillessehnenruptur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8.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Schulterblatt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- und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Schlüsselbeinfrakturen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9.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Metaphyseale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und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Schaftfrakturen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des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Oberarms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10.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und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Luxationen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des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Ellenbogenbereiches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11.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Unterarm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?und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Handgelenkfrakturen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12.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Frakturen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der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Handwurzel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? Und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Handknochen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.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13.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Nervenverletzungen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an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der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Hand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Akute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und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rekonstruktive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Versorgungsmöglichkeiten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r w:rsidRPr="0064614A">
        <w:rPr>
          <w:rFonts w:asciiTheme="minorHAnsi" w:hAnsiTheme="minorHAnsi" w:cstheme="minorHAnsi"/>
          <w:sz w:val="28"/>
          <w:szCs w:val="28"/>
        </w:rPr>
        <w:br/>
        <w:t xml:space="preserve">14.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Sehnenverletzungen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an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der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Hand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br/>
        <w:t xml:space="preserve">15.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Septische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Krankheitsbilder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an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der</w:t>
      </w:r>
      <w:proofErr w:type="spellEnd"/>
      <w:r w:rsidRPr="0064614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4614A">
        <w:rPr>
          <w:rFonts w:asciiTheme="minorHAnsi" w:hAnsiTheme="minorHAnsi" w:cstheme="minorHAnsi"/>
          <w:sz w:val="28"/>
          <w:szCs w:val="28"/>
        </w:rPr>
        <w:t>Hand</w:t>
      </w:r>
      <w:proofErr w:type="spellEnd"/>
    </w:p>
    <w:p w14:paraId="19E344DD" w14:textId="707C6BF1" w:rsidR="00AA2AF7" w:rsidRPr="0064614A" w:rsidRDefault="00AA2AF7" w:rsidP="0064614A">
      <w:pPr>
        <w:rPr>
          <w:rFonts w:cstheme="minorHAnsi"/>
        </w:rPr>
      </w:pPr>
    </w:p>
    <w:sectPr w:rsidR="00AA2AF7" w:rsidRPr="0064614A" w:rsidSect="0003276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99"/>
    <w:rsid w:val="00032767"/>
    <w:rsid w:val="00513733"/>
    <w:rsid w:val="005722D5"/>
    <w:rsid w:val="0064614A"/>
    <w:rsid w:val="006F53D0"/>
    <w:rsid w:val="008802BF"/>
    <w:rsid w:val="00946FA8"/>
    <w:rsid w:val="00A25149"/>
    <w:rsid w:val="00AA2AF7"/>
    <w:rsid w:val="00E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7781"/>
  <w15:chartTrackingRefBased/>
  <w15:docId w15:val="{07B94CE3-1FC4-4ADE-B63E-BC4C5D65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31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31E9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Várady Csilla</dc:creator>
  <cp:keywords/>
  <dc:description/>
  <cp:lastModifiedBy>Várady Csilla</cp:lastModifiedBy>
  <cp:revision>4</cp:revision>
  <cp:lastPrinted>2023-05-10T08:30:00Z</cp:lastPrinted>
  <dcterms:created xsi:type="dcterms:W3CDTF">2023-05-10T07:34:00Z</dcterms:created>
  <dcterms:modified xsi:type="dcterms:W3CDTF">2023-05-10T10:04:00Z</dcterms:modified>
</cp:coreProperties>
</file>