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000B" w14:textId="3557D3EB" w:rsidR="00392BC5" w:rsidRPr="00697933" w:rsidRDefault="00392BC5" w:rsidP="00392BC5">
      <w:pPr>
        <w:ind w:left="1277" w:firstLine="708"/>
        <w:jc w:val="both"/>
        <w:rPr>
          <w:rFonts w:ascii="Times New Roman" w:hAnsi="Times New Roman" w:cs="Times New Roman"/>
          <w:b/>
          <w:bCs/>
          <w:color w:val="121D46"/>
          <w:sz w:val="28"/>
          <w:szCs w:val="28"/>
          <w:shd w:val="clear" w:color="auto" w:fill="FFFFFF"/>
        </w:rPr>
      </w:pPr>
      <w:r w:rsidRPr="006979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Telemedicine</w:t>
      </w:r>
      <w:r w:rsidR="001971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and</w:t>
      </w:r>
      <w:r w:rsidRPr="0069793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Digital/Online communication</w:t>
      </w:r>
    </w:p>
    <w:p w14:paraId="674C5C30" w14:textId="77777777" w:rsidR="00392BC5" w:rsidRPr="00697933" w:rsidRDefault="00392BC5" w:rsidP="00392BC5">
      <w:pPr>
        <w:autoSpaceDE/>
        <w:autoSpaceDN/>
        <w:adjustRightInd/>
        <w:rPr>
          <w:rFonts w:ascii="Times New Roman" w:eastAsia="Arial" w:hAnsi="Times New Roman" w:cs="Times New Roman"/>
          <w:bCs/>
          <w:lang w:eastAsia="en-GB"/>
        </w:rPr>
      </w:pPr>
    </w:p>
    <w:p w14:paraId="77797B18" w14:textId="77777777" w:rsidR="00392BC5" w:rsidRPr="00697933" w:rsidRDefault="00392BC5" w:rsidP="00392BC5">
      <w:pPr>
        <w:autoSpaceDE/>
        <w:autoSpaceDN/>
        <w:adjustRightInd/>
        <w:rPr>
          <w:rFonts w:ascii="Times New Roman" w:eastAsia="Arial" w:hAnsi="Times New Roman" w:cs="Times New Roman"/>
          <w:b/>
          <w:lang w:eastAsia="en-GB"/>
        </w:rPr>
      </w:pPr>
      <w:r w:rsidRPr="00697933">
        <w:rPr>
          <w:rFonts w:ascii="Times New Roman" w:eastAsia="Arial" w:hAnsi="Times New Roman" w:cs="Times New Roman"/>
          <w:b/>
          <w:lang w:eastAsia="en-GB"/>
        </w:rPr>
        <w:t xml:space="preserve">Introduction: </w:t>
      </w:r>
    </w:p>
    <w:p w14:paraId="603185FB" w14:textId="77777777" w:rsidR="00F10256" w:rsidRPr="00697933" w:rsidRDefault="00F10256" w:rsidP="00F10256">
      <w:pPr>
        <w:tabs>
          <w:tab w:val="left" w:pos="0"/>
        </w:tabs>
        <w:autoSpaceDE/>
        <w:autoSpaceDN/>
        <w:adjustRightInd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</w:p>
    <w:p w14:paraId="66EDDC7A" w14:textId="59A01E37" w:rsidR="00F10256" w:rsidRPr="00697933" w:rsidRDefault="00F10256" w:rsidP="00F10256">
      <w:pPr>
        <w:autoSpaceDE/>
        <w:autoSpaceDN/>
        <w:adjustRightInd/>
        <w:rPr>
          <w:rFonts w:ascii="Times New Roman" w:eastAsia="Arial" w:hAnsi="Times New Roman" w:cs="Times New Roman"/>
          <w:b/>
          <w:i/>
          <w:iCs/>
          <w:lang w:eastAsia="en-GB"/>
        </w:rPr>
      </w:pPr>
      <w:r w:rsidRPr="00697933">
        <w:rPr>
          <w:rFonts w:ascii="Times New Roman" w:eastAsia="Arial" w:hAnsi="Times New Roman" w:cs="Times New Roman"/>
          <w:b/>
          <w:i/>
          <w:iCs/>
          <w:lang w:eastAsia="en-GB"/>
        </w:rPr>
        <w:t>21st</w:t>
      </w:r>
      <w:r w:rsidR="000A4723">
        <w:rPr>
          <w:rFonts w:ascii="Times New Roman" w:eastAsia="Arial" w:hAnsi="Times New Roman" w:cs="Times New Roman"/>
          <w:b/>
          <w:i/>
          <w:iCs/>
          <w:lang w:eastAsia="en-GB"/>
        </w:rPr>
        <w:t>-</w:t>
      </w:r>
      <w:r w:rsidRPr="00697933">
        <w:rPr>
          <w:rFonts w:ascii="Times New Roman" w:eastAsia="Arial" w:hAnsi="Times New Roman" w:cs="Times New Roman"/>
          <w:b/>
          <w:i/>
          <w:iCs/>
          <w:lang w:eastAsia="en-GB"/>
        </w:rPr>
        <w:t>century challenges in medical communication</w:t>
      </w:r>
    </w:p>
    <w:p w14:paraId="0A7449DF" w14:textId="77777777" w:rsidR="00392BC5" w:rsidRPr="00697933" w:rsidRDefault="00392BC5" w:rsidP="00392BC5">
      <w:pPr>
        <w:autoSpaceDE/>
        <w:autoSpaceDN/>
        <w:adjustRightInd/>
        <w:rPr>
          <w:rFonts w:ascii="Times New Roman" w:eastAsia="Arial" w:hAnsi="Times New Roman" w:cs="Times New Roman"/>
          <w:bCs/>
          <w:lang w:eastAsia="en-GB"/>
        </w:rPr>
      </w:pPr>
    </w:p>
    <w:p w14:paraId="093BCB32" w14:textId="074E727C" w:rsidR="00EF43BB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 w:rsidRPr="00697933">
        <w:rPr>
          <w:rFonts w:ascii="Times New Roman" w:eastAsia="Arial" w:hAnsi="Times New Roman" w:cs="Times New Roman"/>
          <w:bCs/>
          <w:lang w:eastAsia="en-GB"/>
        </w:rPr>
        <w:t xml:space="preserve">Doctor-patient communication is undergoing a </w:t>
      </w:r>
      <w:r w:rsidR="000A4723">
        <w:rPr>
          <w:rFonts w:ascii="Times New Roman" w:eastAsia="Arial" w:hAnsi="Times New Roman" w:cs="Times New Roman"/>
          <w:bCs/>
          <w:lang w:eastAsia="en-GB"/>
        </w:rPr>
        <w:t>significant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transformation thanks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 in large part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to 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recent advances in 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digital technologies. </w:t>
      </w:r>
      <w:r w:rsidR="00793F51">
        <w:rPr>
          <w:rFonts w:ascii="Times New Roman" w:eastAsia="Arial" w:hAnsi="Times New Roman" w:cs="Times New Roman"/>
          <w:bCs/>
          <w:lang w:eastAsia="en-GB"/>
        </w:rPr>
        <w:t>Today, n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ew skills are needed to cope with the increasing use of the internet, 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various </w:t>
      </w:r>
      <w:r w:rsidRPr="00697933">
        <w:rPr>
          <w:rFonts w:ascii="Times New Roman" w:eastAsia="Arial" w:hAnsi="Times New Roman" w:cs="Times New Roman"/>
          <w:bCs/>
          <w:lang w:eastAsia="en-GB"/>
        </w:rPr>
        <w:t>social media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 platforms</w:t>
      </w:r>
      <w:r w:rsidR="00EF43BB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and other digital tools 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intended 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for medical purposes. </w:t>
      </w:r>
    </w:p>
    <w:p w14:paraId="4BD766A3" w14:textId="77777777" w:rsidR="00EF43BB" w:rsidRDefault="00EF43BB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4FF38114" w14:textId="7DC75EED" w:rsidR="00EF43BB" w:rsidRDefault="00EF43BB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>
        <w:rPr>
          <w:rFonts w:ascii="Times New Roman" w:eastAsia="Arial" w:hAnsi="Times New Roman" w:cs="Times New Roman"/>
          <w:bCs/>
          <w:lang w:eastAsia="en-GB"/>
        </w:rPr>
        <w:t xml:space="preserve">In consideration of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the rapidly growing number of patients </w:t>
      </w:r>
      <w:r>
        <w:rPr>
          <w:rFonts w:ascii="Times New Roman" w:eastAsia="Arial" w:hAnsi="Times New Roman" w:cs="Times New Roman"/>
          <w:bCs/>
          <w:lang w:eastAsia="en-GB"/>
        </w:rPr>
        <w:t>dependent upon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697933" w:rsidRPr="00697933">
        <w:rPr>
          <w:rFonts w:ascii="Times New Roman" w:eastAsia="Arial" w:hAnsi="Times New Roman" w:cs="Times New Roman"/>
          <w:bCs/>
          <w:i/>
          <w:iCs/>
          <w:lang w:eastAsia="en-GB"/>
        </w:rPr>
        <w:t>t</w:t>
      </w:r>
      <w:r w:rsidR="00D31C00" w:rsidRPr="00697933">
        <w:rPr>
          <w:rFonts w:ascii="Times New Roman" w:eastAsia="Arial" w:hAnsi="Times New Roman" w:cs="Times New Roman"/>
          <w:bCs/>
          <w:i/>
          <w:iCs/>
          <w:lang w:eastAsia="en-GB"/>
        </w:rPr>
        <w:t xml:space="preserve">elemedicine </w:t>
      </w:r>
      <w:r w:rsidR="00D31C00" w:rsidRPr="00697933">
        <w:rPr>
          <w:rFonts w:ascii="Times New Roman" w:eastAsia="Arial" w:hAnsi="Times New Roman" w:cs="Times New Roman"/>
          <w:bCs/>
          <w:lang w:eastAsia="en-GB"/>
        </w:rPr>
        <w:t xml:space="preserve">and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the</w:t>
      </w:r>
      <w:r w:rsidR="00697933" w:rsidRPr="00697933">
        <w:rPr>
          <w:rFonts w:ascii="Times New Roman" w:eastAsia="Arial" w:hAnsi="Times New Roman" w:cs="Times New Roman"/>
          <w:bCs/>
          <w:i/>
          <w:iCs/>
          <w:lang w:eastAsia="en-GB"/>
        </w:rPr>
        <w:t xml:space="preserve"> i</w:t>
      </w:r>
      <w:r w:rsidR="00392BC5" w:rsidRPr="00697933">
        <w:rPr>
          <w:rFonts w:ascii="Times New Roman" w:eastAsia="Arial" w:hAnsi="Times New Roman" w:cs="Times New Roman"/>
          <w:bCs/>
          <w:i/>
          <w:iCs/>
          <w:lang w:eastAsia="en-GB"/>
        </w:rPr>
        <w:t>nternet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 for information, there is an increasing need to use websites and social forums more effectively in doctor-patient communication. The aim is to provide both doctor and patient with reliable and the </w:t>
      </w:r>
      <w:r>
        <w:rPr>
          <w:rFonts w:ascii="Times New Roman" w:eastAsia="Arial" w:hAnsi="Times New Roman" w:cs="Times New Roman"/>
          <w:bCs/>
          <w:lang w:eastAsia="en-GB"/>
        </w:rPr>
        <w:t xml:space="preserve">most creditable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information available. </w:t>
      </w:r>
    </w:p>
    <w:p w14:paraId="17C620D8" w14:textId="77777777" w:rsidR="00EF43BB" w:rsidRDefault="00EF43BB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0406090D" w14:textId="403034BB" w:rsidR="00703452" w:rsidRDefault="00793F51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>
        <w:rPr>
          <w:rFonts w:ascii="Times New Roman" w:eastAsia="Arial" w:hAnsi="Times New Roman" w:cs="Times New Roman"/>
          <w:bCs/>
          <w:lang w:eastAsia="en-GB"/>
        </w:rPr>
        <w:t>Admittedly, the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transparency of medical information is transforming the doctor-patient relationship. T</w:t>
      </w:r>
      <w:r>
        <w:rPr>
          <w:rFonts w:ascii="Times New Roman" w:eastAsia="Arial" w:hAnsi="Times New Roman" w:cs="Times New Roman"/>
          <w:bCs/>
          <w:lang w:eastAsia="en-GB"/>
        </w:rPr>
        <w:t>oday</w:t>
      </w:r>
      <w:r w:rsidR="00EF43BB">
        <w:rPr>
          <w:rFonts w:ascii="Times New Roman" w:eastAsia="Arial" w:hAnsi="Times New Roman" w:cs="Times New Roman"/>
          <w:bCs/>
          <w:lang w:eastAsia="en-GB"/>
        </w:rPr>
        <w:t>, the</w:t>
      </w:r>
      <w:r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informed patient is actively involved in communication and decision-making. The doctor-patient relationship </w:t>
      </w:r>
      <w:r>
        <w:rPr>
          <w:rFonts w:ascii="Times New Roman" w:eastAsia="Arial" w:hAnsi="Times New Roman" w:cs="Times New Roman"/>
          <w:bCs/>
          <w:lang w:eastAsia="en-GB"/>
        </w:rPr>
        <w:t xml:space="preserve">is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becom</w:t>
      </w:r>
      <w:r>
        <w:rPr>
          <w:rFonts w:ascii="Times New Roman" w:eastAsia="Arial" w:hAnsi="Times New Roman" w:cs="Times New Roman"/>
          <w:bCs/>
          <w:lang w:eastAsia="en-GB"/>
        </w:rPr>
        <w:t>ing far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 more partner-like, requiring greater cooperation from both parties (</w:t>
      </w:r>
      <w:proofErr w:type="spellStart"/>
      <w:r w:rsidR="00697933">
        <w:rPr>
          <w:rFonts w:ascii="Times New Roman" w:eastAsia="Arial" w:hAnsi="Times New Roman" w:cs="Times New Roman"/>
          <w:bCs/>
          <w:lang w:eastAsia="en-GB"/>
        </w:rPr>
        <w:t>Meskó</w:t>
      </w:r>
      <w:proofErr w:type="spellEnd"/>
      <w:r w:rsidR="00697933">
        <w:rPr>
          <w:rFonts w:ascii="Times New Roman" w:eastAsia="Arial" w:hAnsi="Times New Roman" w:cs="Times New Roman"/>
          <w:bCs/>
          <w:lang w:eastAsia="en-GB"/>
        </w:rPr>
        <w:t xml:space="preserve"> et al.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, 2017). </w:t>
      </w:r>
    </w:p>
    <w:p w14:paraId="71EE03DE" w14:textId="77777777" w:rsidR="00703452" w:rsidRDefault="00703452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2A42B71F" w14:textId="0FBA7F47" w:rsidR="00392BC5" w:rsidRPr="00697933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 w:rsidRPr="00697933">
        <w:rPr>
          <w:rFonts w:ascii="Times New Roman" w:eastAsia="Arial" w:hAnsi="Times New Roman" w:cs="Times New Roman"/>
          <w:bCs/>
          <w:lang w:eastAsia="en-GB"/>
        </w:rPr>
        <w:t xml:space="preserve">The </w:t>
      </w:r>
      <w:r w:rsidR="000A4723">
        <w:rPr>
          <w:rFonts w:ascii="Times New Roman" w:eastAsia="Arial" w:hAnsi="Times New Roman" w:cs="Times New Roman"/>
          <w:bCs/>
          <w:lang w:eastAsia="en-GB"/>
        </w:rPr>
        <w:t>course aim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s to 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encourage </w:t>
      </w:r>
      <w:r w:rsidR="000A4723">
        <w:rPr>
          <w:rFonts w:ascii="Times New Roman" w:eastAsia="Arial" w:hAnsi="Times New Roman" w:cs="Times New Roman"/>
          <w:bCs/>
          <w:lang w:eastAsia="en-GB"/>
        </w:rPr>
        <w:t>medical students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to </w:t>
      </w:r>
      <w:r w:rsidR="00793F51">
        <w:rPr>
          <w:rFonts w:ascii="Times New Roman" w:eastAsia="Arial" w:hAnsi="Times New Roman" w:cs="Times New Roman"/>
          <w:bCs/>
          <w:lang w:eastAsia="en-GB"/>
        </w:rPr>
        <w:t>exercise</w:t>
      </w:r>
      <w:r w:rsidR="00793F51"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Pr="00697933">
        <w:rPr>
          <w:rFonts w:ascii="Times New Roman" w:eastAsia="Arial" w:hAnsi="Times New Roman" w:cs="Times New Roman"/>
          <w:bCs/>
          <w:lang w:eastAsia="en-GB"/>
        </w:rPr>
        <w:t>communication strategies in specific situations</w:t>
      </w:r>
      <w:r w:rsidR="00EF43BB">
        <w:rPr>
          <w:rFonts w:ascii="Times New Roman" w:eastAsia="Arial" w:hAnsi="Times New Roman" w:cs="Times New Roman"/>
          <w:bCs/>
          <w:lang w:eastAsia="en-GB"/>
        </w:rPr>
        <w:t xml:space="preserve"> while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EF43BB">
        <w:rPr>
          <w:rFonts w:ascii="Times New Roman" w:eastAsia="Arial" w:hAnsi="Times New Roman" w:cs="Times New Roman"/>
          <w:bCs/>
          <w:lang w:eastAsia="en-GB"/>
        </w:rPr>
        <w:t xml:space="preserve">effectively </w:t>
      </w:r>
      <w:r w:rsidRPr="00697933">
        <w:rPr>
          <w:rFonts w:ascii="Times New Roman" w:eastAsia="Arial" w:hAnsi="Times New Roman" w:cs="Times New Roman"/>
          <w:bCs/>
          <w:lang w:eastAsia="en-GB"/>
        </w:rPr>
        <w:t>preparing them for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 upcoming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t</w:t>
      </w:r>
      <w:r w:rsidR="000A4723">
        <w:rPr>
          <w:rFonts w:ascii="Times New Roman" w:eastAsia="Arial" w:hAnsi="Times New Roman" w:cs="Times New Roman"/>
          <w:bCs/>
          <w:lang w:eastAsia="en-GB"/>
        </w:rPr>
        <w:t>echnological and digital communication challenges</w:t>
      </w:r>
      <w:r w:rsidRPr="00697933">
        <w:rPr>
          <w:rFonts w:ascii="Times New Roman" w:eastAsia="Arial" w:hAnsi="Times New Roman" w:cs="Times New Roman"/>
          <w:bCs/>
          <w:lang w:eastAsia="en-GB"/>
        </w:rPr>
        <w:t>.</w:t>
      </w:r>
    </w:p>
    <w:p w14:paraId="5C77E232" w14:textId="77777777" w:rsidR="00392BC5" w:rsidRPr="00697933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7E2D925E" w14:textId="00B19120" w:rsidR="00392BC5" w:rsidRPr="00697933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 w:rsidRPr="00697933">
        <w:rPr>
          <w:rFonts w:ascii="Times New Roman" w:eastAsia="Arial" w:hAnsi="Times New Roman" w:cs="Times New Roman"/>
          <w:bCs/>
          <w:lang w:eastAsia="en-GB"/>
        </w:rPr>
        <w:t>The use of digital tools, e-health</w:t>
      </w:r>
      <w:r w:rsidR="000A4723">
        <w:rPr>
          <w:rFonts w:ascii="Times New Roman" w:eastAsia="Arial" w:hAnsi="Times New Roman" w:cs="Times New Roman"/>
          <w:bCs/>
          <w:lang w:eastAsia="en-GB"/>
        </w:rPr>
        <w:t>,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and m-health technologies in healthcare is a new phenomenon. The opportunities and difficulties offered </w:t>
      </w:r>
      <w:r w:rsidR="00793F51">
        <w:rPr>
          <w:rFonts w:ascii="Times New Roman" w:eastAsia="Arial" w:hAnsi="Times New Roman" w:cs="Times New Roman"/>
          <w:bCs/>
          <w:lang w:eastAsia="en-GB"/>
        </w:rPr>
        <w:t>using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these tools will be </w:t>
      </w:r>
      <w:r w:rsidR="00793F51">
        <w:rPr>
          <w:rFonts w:ascii="Times New Roman" w:eastAsia="Arial" w:hAnsi="Times New Roman" w:cs="Times New Roman"/>
          <w:bCs/>
          <w:lang w:eastAsia="en-GB"/>
        </w:rPr>
        <w:t xml:space="preserve">fleshed out and </w:t>
      </w:r>
      <w:r w:rsidRPr="00697933">
        <w:rPr>
          <w:rFonts w:ascii="Times New Roman" w:eastAsia="Arial" w:hAnsi="Times New Roman" w:cs="Times New Roman"/>
          <w:bCs/>
          <w:lang w:eastAsia="en-GB"/>
        </w:rPr>
        <w:t>presented in the module.</w:t>
      </w:r>
    </w:p>
    <w:p w14:paraId="35552A2B" w14:textId="77777777" w:rsidR="00392BC5" w:rsidRPr="00697933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3FD5A6D8" w14:textId="3719334B" w:rsidR="00703452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 w:rsidRPr="00697933">
        <w:rPr>
          <w:rFonts w:ascii="Times New Roman" w:eastAsia="Arial" w:hAnsi="Times New Roman" w:cs="Times New Roman"/>
          <w:bCs/>
          <w:lang w:eastAsia="en-GB"/>
        </w:rPr>
        <w:t>The use of information resources provided by tele</w:t>
      </w:r>
      <w:r w:rsidR="00D31C00" w:rsidRPr="00697933">
        <w:rPr>
          <w:rFonts w:ascii="Times New Roman" w:eastAsia="Arial" w:hAnsi="Times New Roman" w:cs="Times New Roman"/>
          <w:bCs/>
          <w:lang w:eastAsia="en-GB"/>
        </w:rPr>
        <w:t>medicine and telecommunication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development is crucial for the success of healthcare in several aspects. It is </w:t>
      </w:r>
      <w:r w:rsidR="000A4723">
        <w:rPr>
          <w:rFonts w:ascii="Times New Roman" w:eastAsia="Arial" w:hAnsi="Times New Roman" w:cs="Times New Roman"/>
          <w:bCs/>
          <w:lang w:eastAsia="en-GB"/>
        </w:rPr>
        <w:t>essential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whether the patient understands and makes appropriate use of the information </w:t>
      </w:r>
      <w:r w:rsidR="000A4723">
        <w:rPr>
          <w:rFonts w:ascii="Times New Roman" w:eastAsia="Arial" w:hAnsi="Times New Roman" w:cs="Times New Roman"/>
          <w:bCs/>
          <w:lang w:eastAsia="en-GB"/>
        </w:rPr>
        <w:t>they obtain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or the information provided by the doctor. </w:t>
      </w:r>
    </w:p>
    <w:p w14:paraId="62579692" w14:textId="77777777" w:rsidR="00703452" w:rsidRDefault="00703452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6D26A7A8" w14:textId="71F52041" w:rsidR="00703452" w:rsidRDefault="00793F51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>
        <w:rPr>
          <w:rFonts w:ascii="Times New Roman" w:eastAsia="Arial" w:hAnsi="Times New Roman" w:cs="Times New Roman"/>
          <w:bCs/>
          <w:lang w:eastAsia="en-GB"/>
        </w:rPr>
        <w:t>T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his understanding is significantly influenced by what is </w:t>
      </w:r>
      <w:r>
        <w:rPr>
          <w:rFonts w:ascii="Times New Roman" w:eastAsia="Arial" w:hAnsi="Times New Roman" w:cs="Times New Roman"/>
          <w:bCs/>
          <w:lang w:eastAsia="en-GB"/>
        </w:rPr>
        <w:t>today referred to</w:t>
      </w:r>
      <w:r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as health literacy. </w:t>
      </w:r>
    </w:p>
    <w:p w14:paraId="73FC38F1" w14:textId="77777777" w:rsidR="00703452" w:rsidRDefault="00703452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55DFF127" w14:textId="2145D2B2" w:rsidR="00703452" w:rsidRDefault="00697933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 w:rsidRPr="00697933">
        <w:rPr>
          <w:rFonts w:ascii="Times New Roman" w:eastAsia="Arial" w:hAnsi="Times New Roman" w:cs="Times New Roman"/>
          <w:bCs/>
          <w:lang w:eastAsia="en-GB"/>
        </w:rPr>
        <w:t>Consequently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, the doctor-patient relationship is </w:t>
      </w:r>
      <w:r w:rsidR="000A4723">
        <w:rPr>
          <w:rFonts w:ascii="Times New Roman" w:eastAsia="Arial" w:hAnsi="Times New Roman" w:cs="Times New Roman"/>
          <w:bCs/>
          <w:lang w:eastAsia="en-GB"/>
        </w:rPr>
        <w:t xml:space="preserve">qualitatively changing </w:t>
      </w:r>
      <w:r w:rsidR="00793F51">
        <w:rPr>
          <w:rFonts w:ascii="Times New Roman" w:eastAsia="Arial" w:hAnsi="Times New Roman" w:cs="Times New Roman"/>
          <w:bCs/>
          <w:lang w:eastAsia="en-GB"/>
        </w:rPr>
        <w:t>including</w:t>
      </w:r>
      <w:r w:rsidR="00793F51" w:rsidRPr="00697933">
        <w:rPr>
          <w:rFonts w:ascii="Times New Roman" w:eastAsia="Arial" w:hAnsi="Times New Roman" w:cs="Times New Roman"/>
          <w:bCs/>
          <w:lang w:eastAsia="en-GB"/>
        </w:rPr>
        <w:t xml:space="preserve">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the basic communication patterns and platforms: the doctor's role is not only to </w:t>
      </w:r>
      <w:r w:rsidR="000A4723">
        <w:rPr>
          <w:rFonts w:ascii="Times New Roman" w:eastAsia="Arial" w:hAnsi="Times New Roman" w:cs="Times New Roman"/>
          <w:bCs/>
          <w:lang w:eastAsia="en-GB"/>
        </w:rPr>
        <w:t xml:space="preserve">provide information and educate the patient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but also to understand the expectations and the patient's perceptions of the disease/treatment. </w:t>
      </w:r>
    </w:p>
    <w:p w14:paraId="46C5EFC1" w14:textId="77777777" w:rsidR="00703452" w:rsidRDefault="00703452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1F3F7D94" w14:textId="5E1E8750" w:rsidR="00392BC5" w:rsidRPr="00697933" w:rsidRDefault="00793F51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  <w:r>
        <w:rPr>
          <w:rFonts w:ascii="Times New Roman" w:eastAsia="Arial" w:hAnsi="Times New Roman" w:cs="Times New Roman"/>
          <w:bCs/>
          <w:lang w:eastAsia="en-GB"/>
        </w:rPr>
        <w:t>A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ddition</w:t>
      </w:r>
      <w:r>
        <w:rPr>
          <w:rFonts w:ascii="Times New Roman" w:eastAsia="Arial" w:hAnsi="Times New Roman" w:cs="Times New Roman"/>
          <w:bCs/>
          <w:lang w:eastAsia="en-GB"/>
        </w:rPr>
        <w:t>ally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, it is </w:t>
      </w:r>
      <w:r w:rsidR="000A4723">
        <w:rPr>
          <w:rFonts w:ascii="Times New Roman" w:eastAsia="Arial" w:hAnsi="Times New Roman" w:cs="Times New Roman"/>
          <w:bCs/>
          <w:lang w:eastAsia="en-GB"/>
        </w:rPr>
        <w:t>essential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 to screen out problem patients (those who do not understand or refuse to accept the doctor's </w:t>
      </w:r>
      <w:r>
        <w:rPr>
          <w:rFonts w:ascii="Times New Roman" w:eastAsia="Arial" w:hAnsi="Times New Roman" w:cs="Times New Roman"/>
          <w:bCs/>
          <w:lang w:eastAsia="en-GB"/>
        </w:rPr>
        <w:t>guidance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) and to </w:t>
      </w:r>
      <w:r>
        <w:rPr>
          <w:rFonts w:ascii="Times New Roman" w:eastAsia="Arial" w:hAnsi="Times New Roman" w:cs="Times New Roman"/>
          <w:bCs/>
          <w:lang w:eastAsia="en-GB"/>
        </w:rPr>
        <w:t>aid pa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tients</w:t>
      </w:r>
      <w:r>
        <w:rPr>
          <w:rFonts w:ascii="Times New Roman" w:eastAsia="Arial" w:hAnsi="Times New Roman" w:cs="Times New Roman"/>
          <w:bCs/>
          <w:lang w:eastAsia="en-GB"/>
        </w:rPr>
        <w:t xml:space="preserve"> in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 understand</w:t>
      </w:r>
      <w:r>
        <w:rPr>
          <w:rFonts w:ascii="Times New Roman" w:eastAsia="Arial" w:hAnsi="Times New Roman" w:cs="Times New Roman"/>
          <w:bCs/>
          <w:lang w:eastAsia="en-GB"/>
        </w:rPr>
        <w:t>ing and how best to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 xml:space="preserve"> use </w:t>
      </w:r>
      <w:r>
        <w:rPr>
          <w:rFonts w:ascii="Times New Roman" w:eastAsia="Arial" w:hAnsi="Times New Roman" w:cs="Times New Roman"/>
          <w:bCs/>
          <w:lang w:eastAsia="en-GB"/>
        </w:rPr>
        <w:t xml:space="preserve">medical advice and </w:t>
      </w:r>
      <w:r w:rsidR="00392BC5" w:rsidRPr="00697933">
        <w:rPr>
          <w:rFonts w:ascii="Times New Roman" w:eastAsia="Arial" w:hAnsi="Times New Roman" w:cs="Times New Roman"/>
          <w:bCs/>
          <w:lang w:eastAsia="en-GB"/>
        </w:rPr>
        <w:t>information more effectively</w:t>
      </w:r>
      <w:r w:rsidR="00525371">
        <w:rPr>
          <w:rFonts w:ascii="Times New Roman" w:eastAsia="Arial" w:hAnsi="Times New Roman" w:cs="Times New Roman"/>
          <w:bCs/>
          <w:lang w:eastAsia="en-GB"/>
        </w:rPr>
        <w:t xml:space="preserve"> (</w:t>
      </w:r>
      <w:proofErr w:type="spellStart"/>
      <w:r w:rsidR="00525371">
        <w:rPr>
          <w:rFonts w:ascii="Times New Roman" w:eastAsia="Arial" w:hAnsi="Times New Roman" w:cs="Times New Roman"/>
          <w:bCs/>
          <w:lang w:eastAsia="en-GB"/>
        </w:rPr>
        <w:t>Győrffy</w:t>
      </w:r>
      <w:proofErr w:type="spellEnd"/>
      <w:r w:rsidR="00525371">
        <w:rPr>
          <w:rFonts w:ascii="Times New Roman" w:eastAsia="Arial" w:hAnsi="Times New Roman" w:cs="Times New Roman"/>
          <w:bCs/>
          <w:lang w:eastAsia="en-GB"/>
        </w:rPr>
        <w:t xml:space="preserve"> et al., 2020). </w:t>
      </w:r>
    </w:p>
    <w:p w14:paraId="61C154F4" w14:textId="77777777" w:rsidR="00392BC5" w:rsidRPr="00697933" w:rsidRDefault="00392BC5" w:rsidP="00F10256">
      <w:pPr>
        <w:autoSpaceDE/>
        <w:autoSpaceDN/>
        <w:adjustRightInd/>
        <w:jc w:val="both"/>
        <w:rPr>
          <w:rFonts w:ascii="Times New Roman" w:eastAsia="Arial" w:hAnsi="Times New Roman" w:cs="Times New Roman"/>
          <w:bCs/>
          <w:lang w:eastAsia="en-GB"/>
        </w:rPr>
      </w:pPr>
    </w:p>
    <w:p w14:paraId="495C6FB0" w14:textId="77777777" w:rsidR="00A56B74" w:rsidRPr="00697933" w:rsidRDefault="00A56B74" w:rsidP="00F10256">
      <w:pPr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shd w:val="clear" w:color="auto" w:fill="EFEFEF"/>
          <w:lang w:eastAsia="hu-HU"/>
        </w:rPr>
      </w:pPr>
    </w:p>
    <w:p w14:paraId="7CF736D7" w14:textId="77777777" w:rsidR="00BE51C0" w:rsidRPr="00697933" w:rsidRDefault="00BE51C0" w:rsidP="00F10256">
      <w:pPr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color w:val="000000"/>
          <w:lang w:eastAsia="hu-HU"/>
        </w:rPr>
      </w:pPr>
    </w:p>
    <w:p w14:paraId="2BDCC62C" w14:textId="69639DCC" w:rsidR="00492558" w:rsidRPr="00697933" w:rsidRDefault="00492558" w:rsidP="00F10256">
      <w:pPr>
        <w:pStyle w:val="Listaszerbekezds"/>
        <w:numPr>
          <w:ilvl w:val="0"/>
          <w:numId w:val="3"/>
        </w:numPr>
        <w:tabs>
          <w:tab w:val="left" w:pos="6136"/>
        </w:tabs>
        <w:autoSpaceDE/>
        <w:autoSpaceDN/>
        <w:adjustRightInd/>
        <w:jc w:val="both"/>
        <w:rPr>
          <w:rFonts w:ascii="Times New Roman" w:hAnsi="Times New Roman" w:cs="Times New Roman"/>
          <w:b/>
          <w:iCs/>
          <w:color w:val="000000"/>
          <w:lang w:eastAsia="hu-HU"/>
        </w:rPr>
      </w:pPr>
      <w:r w:rsidRPr="00697933">
        <w:rPr>
          <w:rFonts w:ascii="Times New Roman" w:hAnsi="Times New Roman" w:cs="Times New Roman"/>
          <w:b/>
          <w:iCs/>
          <w:color w:val="000000"/>
          <w:lang w:eastAsia="hu-HU"/>
        </w:rPr>
        <w:t>A new communication model: patient-web-doctor</w:t>
      </w:r>
    </w:p>
    <w:p w14:paraId="4FAB576E" w14:textId="77777777" w:rsidR="00492558" w:rsidRPr="00697933" w:rsidRDefault="00492558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</w:p>
    <w:p w14:paraId="7469608C" w14:textId="4A321AF7" w:rsidR="004B46C0" w:rsidRPr="00697933" w:rsidRDefault="00793F51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In consideration of the increased use and dependency of 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the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nternet, the Google or e-patient, the informed or misinformed patient, has emerged and pose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s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new challenges for doctors. The 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lastRenderedPageBreak/>
        <w:t xml:space="preserve">Google patient 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acquires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information 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using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the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nternet, feels more knowledgeable than the doctor, </w:t>
      </w:r>
      <w:r w:rsidR="00703452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self-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diagnoses and overrides the doctor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’s opinion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, while 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compared with 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the e-patient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, who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seeks cooperation (</w:t>
      </w:r>
      <w:proofErr w:type="spellStart"/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Meskó</w:t>
      </w:r>
      <w:proofErr w:type="spellEnd"/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, 2014). In the new model, the patient's information and participation in shaping treatment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are </w:t>
      </w:r>
      <w:r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considerably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paramount</w:t>
      </w:r>
      <w:r w:rsidR="00703452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to healing and well-being</w:t>
      </w:r>
      <w:r w:rsidR="00492558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. </w:t>
      </w:r>
    </w:p>
    <w:p w14:paraId="557C3897" w14:textId="77777777" w:rsidR="004B46C0" w:rsidRPr="00697933" w:rsidRDefault="004B46C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</w:p>
    <w:p w14:paraId="57E67A63" w14:textId="0A4E066B" w:rsidR="00703452" w:rsidRDefault="004B46C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The patient-web-doctor triangle has a significant impact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up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on the dynamics of the doctor-patient relationship. Internet use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can usher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many benefits, but it can also present challenges for the doctor. </w:t>
      </w:r>
    </w:p>
    <w:p w14:paraId="4538AB1B" w14:textId="77777777" w:rsidR="00703452" w:rsidRDefault="00703452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</w:p>
    <w:p w14:paraId="39658A8F" w14:textId="17BD47E5" w:rsidR="00703452" w:rsidRDefault="004B46C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According to a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recent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survey, a significant proportion of Hungarian doctors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now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consider patient use of the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nternet problematic. This negative attitude is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primarily</w:t>
      </w:r>
      <w:r w:rsidR="00AE3670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ex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emplified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by misinformed, ill-informed patients who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possess</w:t>
      </w:r>
      <w:r w:rsidR="00AE3670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unrealistic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medical and physician e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xpectation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s (</w:t>
      </w:r>
      <w:r w:rsid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Wald et al.,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2007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). The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refore, the role of the doctor is to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aid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patients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while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navigat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ing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through the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vast trove of 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information and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recommend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viable</w:t>
      </w:r>
      <w:r w:rsidR="00AE3670"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sources of information </w:t>
      </w:r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deemed reliable 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to enable more effective and faster consultations. This includes websites, </w:t>
      </w:r>
      <w:proofErr w:type="gramStart"/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blogs</w:t>
      </w:r>
      <w:proofErr w:type="gramEnd"/>
      <w:r w:rsidR="00AE3670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and</w:t>
      </w:r>
      <w:r w:rsidRPr="0069793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online patient communities.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</w:p>
    <w:p w14:paraId="0C006DD5" w14:textId="77777777" w:rsidR="00703452" w:rsidRDefault="00703452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</w:p>
    <w:p w14:paraId="7B4601CE" w14:textId="07817209" w:rsidR="00492558" w:rsidRPr="00525371" w:rsidRDefault="004B46C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A well-informed patient is an active and responsible participant in the treatment process, and the doctor-patient relationship becomes more of a partnership.</w:t>
      </w:r>
    </w:p>
    <w:p w14:paraId="7354C775" w14:textId="3E86FC6B" w:rsidR="004B46C0" w:rsidRPr="00525371" w:rsidRDefault="004B46C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</w:p>
    <w:p w14:paraId="2AA292DA" w14:textId="4149D22A" w:rsidR="00703452" w:rsidRDefault="00D31C0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The </w:t>
      </w:r>
      <w:r w:rsidR="008F0178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rapid 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spread </w:t>
      </w:r>
      <w:r w:rsidR="008F0178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regarding</w:t>
      </w:r>
      <w:r w:rsidR="008F0178"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internet use is changing the previous model of doctor-patient relationships. Patients who are "empowered" with knowledge are more eager to develop a partnership with the doctor. In some cases, doctors may face </w:t>
      </w:r>
      <w:r w:rsidR="008F0178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increased levels of</w:t>
      </w:r>
      <w:r w:rsidR="008F0178"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conflict when communicating </w:t>
      </w:r>
      <w:r w:rsidR="008F0178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among</w:t>
      </w:r>
      <w:r w:rsidR="008F0178"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 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patients who are not well informed or with more assertive patients. </w:t>
      </w:r>
    </w:p>
    <w:p w14:paraId="2717FCB9" w14:textId="77777777" w:rsidR="00703452" w:rsidRDefault="00703452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</w:p>
    <w:p w14:paraId="5B8E71DB" w14:textId="39E87D34" w:rsidR="00D31C00" w:rsidRPr="00525371" w:rsidRDefault="00D31C00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</w:pP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However, in the new relationship model, a well-informed patient can help develop shared decision-making and proactive </w:t>
      </w:r>
      <w:r w:rsidR="008F0178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 xml:space="preserve">forms of 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communication. The benefits of a collaborative relationship model include more effective communication and time management, shared decision-making, better use of health information and health awareness (Wald et al</w:t>
      </w:r>
      <w:r w:rsidR="000A4723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.</w:t>
      </w:r>
      <w:r w:rsidRPr="00525371">
        <w:rPr>
          <w:rFonts w:ascii="Times New Roman" w:eastAsia="Times New Roman" w:hAnsi="Times New Roman" w:cs="Times New Roman"/>
          <w:bCs/>
          <w:iCs/>
          <w:color w:val="000000"/>
          <w:lang w:eastAsia="hu-HU"/>
        </w:rPr>
        <w:t>, 2007).</w:t>
      </w:r>
    </w:p>
    <w:p w14:paraId="47C03CCA" w14:textId="77777777" w:rsidR="00492558" w:rsidRPr="00697933" w:rsidRDefault="00492558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Cs/>
          <w:i/>
          <w:color w:val="000000"/>
          <w:lang w:eastAsia="hu-HU"/>
        </w:rPr>
      </w:pPr>
    </w:p>
    <w:p w14:paraId="34E8DC16" w14:textId="77777777" w:rsidR="00492558" w:rsidRPr="0025405F" w:rsidRDefault="00492558" w:rsidP="00F10256">
      <w:pPr>
        <w:tabs>
          <w:tab w:val="left" w:pos="6136"/>
        </w:tabs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i/>
          <w:color w:val="000000"/>
          <w:lang w:eastAsia="hu-HU"/>
        </w:rPr>
      </w:pPr>
    </w:p>
    <w:p w14:paraId="2C5274CC" w14:textId="77777777" w:rsidR="00684CC4" w:rsidRPr="0025405F" w:rsidRDefault="00684CC4" w:rsidP="00F10256">
      <w:pPr>
        <w:autoSpaceDE/>
        <w:autoSpaceDN/>
        <w:adjustRightInd/>
        <w:spacing w:after="240" w:line="276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25405F">
        <w:rPr>
          <w:rFonts w:ascii="Times New Roman" w:eastAsia="Times New Roman" w:hAnsi="Times New Roman" w:cs="Times New Roman"/>
          <w:b/>
          <w:lang w:eastAsia="hu-HU"/>
        </w:rPr>
        <w:t>B. Doctor-patient cooperation and health literacy</w:t>
      </w:r>
    </w:p>
    <w:p w14:paraId="7257726D" w14:textId="77777777" w:rsidR="00684CC4" w:rsidRPr="00697933" w:rsidRDefault="00684CC4" w:rsidP="00F10256">
      <w:pPr>
        <w:autoSpaceDE/>
        <w:autoSpaceDN/>
        <w:adjustRightInd/>
        <w:spacing w:after="240" w:line="276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FCDA1E8" w14:textId="2256C49E" w:rsidR="00684CC4" w:rsidRPr="00697933" w:rsidRDefault="00684CC4" w:rsidP="00F10256">
      <w:pPr>
        <w:autoSpaceDE/>
        <w:autoSpaceDN/>
        <w:adjustRightInd/>
        <w:spacing w:after="240" w:line="276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697933">
        <w:rPr>
          <w:rFonts w:ascii="Times New Roman" w:eastAsia="Times New Roman" w:hAnsi="Times New Roman" w:cs="Times New Roman"/>
          <w:bCs/>
          <w:lang w:eastAsia="hu-HU"/>
        </w:rPr>
        <w:t>Health literacy can be defined in practical terms as health competence. Several studies have shown this type of competence is strongly associated with health</w:t>
      </w:r>
      <w:r w:rsidR="00703452">
        <w:rPr>
          <w:rFonts w:ascii="Times New Roman" w:eastAsia="Times New Roman" w:hAnsi="Times New Roman" w:cs="Times New Roman"/>
          <w:bCs/>
          <w:lang w:eastAsia="hu-HU"/>
        </w:rPr>
        <w:t>y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outcomes. For example, it has a strong positive association with mortality</w:t>
      </w:r>
      <w:r w:rsidR="000A4723">
        <w:rPr>
          <w:rFonts w:ascii="Times New Roman" w:eastAsia="Times New Roman" w:hAnsi="Times New Roman" w:cs="Times New Roman"/>
          <w:bCs/>
          <w:lang w:eastAsia="hu-HU"/>
        </w:rPr>
        <w:t>. It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is a better predictor of subjectively and objectively assessed health status than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 xml:space="preserve"> when compared with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age, income, employment status, </w:t>
      </w:r>
      <w:proofErr w:type="gramStart"/>
      <w:r w:rsidRPr="00697933">
        <w:rPr>
          <w:rFonts w:ascii="Times New Roman" w:eastAsia="Times New Roman" w:hAnsi="Times New Roman" w:cs="Times New Roman"/>
          <w:bCs/>
          <w:lang w:eastAsia="hu-HU"/>
        </w:rPr>
        <w:t>education</w:t>
      </w:r>
      <w:proofErr w:type="gramEnd"/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or membership of a racial or ethnic group. Individuals with low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 xml:space="preserve"> levels of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health literacy spend longer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 xml:space="preserve"> duration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in hospital</w:t>
      </w:r>
      <w:r w:rsidR="000A4723">
        <w:rPr>
          <w:rFonts w:ascii="Times New Roman" w:eastAsia="Times New Roman" w:hAnsi="Times New Roman" w:cs="Times New Roman"/>
          <w:bCs/>
          <w:lang w:eastAsia="hu-HU"/>
        </w:rPr>
        <w:t>s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and use the health system more than patients with high health literacy</w:t>
      </w:r>
      <w:r w:rsidR="00525371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>and have more difficulty following</w:t>
      </w:r>
      <w:r w:rsidR="00525371">
        <w:rPr>
          <w:rFonts w:ascii="Times New Roman" w:eastAsia="Times New Roman" w:hAnsi="Times New Roman" w:cs="Times New Roman"/>
          <w:bCs/>
          <w:lang w:eastAsia="hu-HU"/>
        </w:rPr>
        <w:t xml:space="preserve"> the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doctor's orders 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>while</w:t>
      </w:r>
      <w:r w:rsidR="008F0178" w:rsidRPr="00697933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>judging the credibility of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703452">
        <w:rPr>
          <w:rFonts w:ascii="Times New Roman" w:eastAsia="Times New Roman" w:hAnsi="Times New Roman" w:cs="Times New Roman"/>
          <w:bCs/>
          <w:lang w:eastAsia="hu-HU"/>
        </w:rPr>
        <w:t>effective and genuine</w:t>
      </w: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 health information. </w:t>
      </w:r>
    </w:p>
    <w:p w14:paraId="2164CA6C" w14:textId="62FFA73D" w:rsidR="00A56B74" w:rsidRPr="00697933" w:rsidRDefault="00684CC4" w:rsidP="00F10256">
      <w:pPr>
        <w:autoSpaceDE/>
        <w:autoSpaceDN/>
        <w:adjustRightInd/>
        <w:spacing w:after="24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697933">
        <w:rPr>
          <w:rFonts w:ascii="Times New Roman" w:eastAsia="Times New Roman" w:hAnsi="Times New Roman" w:cs="Times New Roman"/>
          <w:bCs/>
          <w:lang w:eastAsia="hu-HU"/>
        </w:rPr>
        <w:t xml:space="preserve">Providing tools or sources of information </w:t>
      </w:r>
      <w:r w:rsidR="000A4723">
        <w:rPr>
          <w:rFonts w:ascii="Times New Roman" w:eastAsia="Times New Roman" w:hAnsi="Times New Roman" w:cs="Times New Roman"/>
          <w:bCs/>
          <w:lang w:eastAsia="hu-HU"/>
        </w:rPr>
        <w:t xml:space="preserve">within the patient's competence can go a long way towards raising the level of health literacy, which reduces the burden on the doctor and the health </w:t>
      </w:r>
      <w:r w:rsidR="008F0178">
        <w:rPr>
          <w:rFonts w:ascii="Times New Roman" w:eastAsia="Times New Roman" w:hAnsi="Times New Roman" w:cs="Times New Roman"/>
          <w:bCs/>
          <w:lang w:eastAsia="hu-HU"/>
        </w:rPr>
        <w:t xml:space="preserve">care </w:t>
      </w:r>
      <w:r w:rsidR="000A4723">
        <w:rPr>
          <w:rFonts w:ascii="Times New Roman" w:eastAsia="Times New Roman" w:hAnsi="Times New Roman" w:cs="Times New Roman"/>
          <w:bCs/>
          <w:lang w:eastAsia="hu-HU"/>
        </w:rPr>
        <w:t>system and</w:t>
      </w:r>
      <w:r w:rsidRPr="00697933">
        <w:rPr>
          <w:rFonts w:ascii="Times New Roman" w:eastAsia="Times New Roman" w:hAnsi="Times New Roman" w:cs="Times New Roman"/>
          <w:lang w:eastAsia="hu-HU"/>
        </w:rPr>
        <w:t xml:space="preserve"> leads to greater patient involvement in their recovery.</w:t>
      </w:r>
    </w:p>
    <w:p w14:paraId="113181DE" w14:textId="77777777" w:rsidR="009F7AF1" w:rsidRPr="00697933" w:rsidRDefault="009F7AF1" w:rsidP="00A56B74">
      <w:pPr>
        <w:autoSpaceDE/>
        <w:autoSpaceDN/>
        <w:adjustRightInd/>
        <w:spacing w:after="240"/>
        <w:rPr>
          <w:rFonts w:ascii="Times New Roman" w:eastAsia="Times New Roman" w:hAnsi="Times New Roman" w:cs="Times New Roman"/>
          <w:b/>
          <w:lang w:eastAsia="hu-HU"/>
        </w:rPr>
      </w:pPr>
    </w:p>
    <w:p w14:paraId="334FE190" w14:textId="7EC46859" w:rsidR="00A56B74" w:rsidRPr="00697933" w:rsidRDefault="00684CC4" w:rsidP="00A56B7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697933">
        <w:rPr>
          <w:rFonts w:ascii="Times New Roman" w:eastAsia="Times New Roman" w:hAnsi="Times New Roman" w:cs="Times New Roman"/>
          <w:b/>
          <w:color w:val="000000"/>
          <w:lang w:eastAsia="hu-HU"/>
        </w:rPr>
        <w:t>Summary</w:t>
      </w:r>
    </w:p>
    <w:p w14:paraId="1A8D28D5" w14:textId="77777777" w:rsidR="00A56B74" w:rsidRPr="00697933" w:rsidRDefault="00A56B74" w:rsidP="00A56B74">
      <w:pPr>
        <w:autoSpaceDE/>
        <w:autoSpaceDN/>
        <w:adjustRightInd/>
        <w:rPr>
          <w:rFonts w:ascii="Times New Roman" w:eastAsia="Times New Roman" w:hAnsi="Times New Roman" w:cs="Times New Roman"/>
          <w:lang w:eastAsia="hu-HU"/>
        </w:rPr>
      </w:pPr>
    </w:p>
    <w:p w14:paraId="2225F497" w14:textId="37E7994B" w:rsidR="00684CC4" w:rsidRPr="00697933" w:rsidRDefault="00F07C8F" w:rsidP="00684CC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color w:val="000000"/>
          <w:lang w:eastAsia="hu-HU"/>
        </w:rPr>
        <w:t>1</w:t>
      </w:r>
      <w:r w:rsidR="00684CC4" w:rsidRPr="00697933">
        <w:rPr>
          <w:rFonts w:ascii="Times New Roman" w:eastAsia="Times New Roman" w:hAnsi="Times New Roman" w:cs="Times New Roman"/>
          <w:color w:val="000000"/>
          <w:lang w:eastAsia="hu-HU"/>
        </w:rPr>
        <w:t>.</w:t>
      </w:r>
      <w:r w:rsidR="00684CC4" w:rsidRPr="00697933">
        <w:rPr>
          <w:rFonts w:ascii="Times New Roman" w:hAnsi="Times New Roman" w:cs="Times New Roman"/>
        </w:rPr>
        <w:t xml:space="preserve"> </w:t>
      </w:r>
      <w:r w:rsidR="00684CC4" w:rsidRPr="00697933">
        <w:rPr>
          <w:rFonts w:ascii="Times New Roman" w:eastAsia="Times New Roman" w:hAnsi="Times New Roman" w:cs="Times New Roman"/>
          <w:color w:val="000000"/>
          <w:lang w:eastAsia="hu-HU"/>
        </w:rPr>
        <w:t>Information management and communication in the 21st century doctor-patient relationship</w:t>
      </w:r>
    </w:p>
    <w:p w14:paraId="25250C57" w14:textId="0C535537" w:rsidR="00684CC4" w:rsidRPr="00697933" w:rsidRDefault="00684CC4" w:rsidP="00684CC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color w:val="000000"/>
          <w:lang w:eastAsia="hu-HU"/>
        </w:rPr>
        <w:t>2. New challenges and communication strategies; Google patient, e-patient, reliable sources</w:t>
      </w:r>
    </w:p>
    <w:p w14:paraId="14DD8904" w14:textId="4AF09BE6" w:rsidR="00347BA2" w:rsidRPr="00697933" w:rsidRDefault="00684CC4" w:rsidP="00684CC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color w:val="000000"/>
          <w:lang w:eastAsia="hu-HU"/>
        </w:rPr>
        <w:t>3. Telemedicine, eHealth, mHealth tools in medicine</w:t>
      </w:r>
    </w:p>
    <w:p w14:paraId="11DE22B7" w14:textId="77777777" w:rsidR="00347BA2" w:rsidRPr="00697933" w:rsidRDefault="00347BA2" w:rsidP="00A56B7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1E68C2B" w14:textId="46F0501B" w:rsidR="00A56B74" w:rsidRPr="00697933" w:rsidRDefault="00684CC4" w:rsidP="00A56B7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697933">
        <w:rPr>
          <w:rFonts w:ascii="Times New Roman" w:eastAsia="Times New Roman" w:hAnsi="Times New Roman" w:cs="Times New Roman"/>
          <w:b/>
          <w:color w:val="000000"/>
          <w:lang w:eastAsia="hu-HU"/>
        </w:rPr>
        <w:t>Literature</w:t>
      </w:r>
    </w:p>
    <w:p w14:paraId="6BB50437" w14:textId="1A6FA719" w:rsidR="00392BC5" w:rsidRPr="00697933" w:rsidRDefault="00392BC5" w:rsidP="00A56B74">
      <w:pPr>
        <w:autoSpaceDE/>
        <w:autoSpaceDN/>
        <w:adjustRightInd/>
        <w:jc w:val="both"/>
        <w:rPr>
          <w:rFonts w:ascii="Times New Roman" w:eastAsia="Times New Roman" w:hAnsi="Times New Roman" w:cs="Times New Roman"/>
          <w:b/>
          <w:color w:val="000000"/>
          <w:lang w:eastAsia="hu-HU"/>
        </w:rPr>
      </w:pPr>
    </w:p>
    <w:p w14:paraId="549BFE40" w14:textId="1575D8E5" w:rsidR="00A56B74" w:rsidRPr="000A4723" w:rsidRDefault="00A56B74" w:rsidP="00A56B74">
      <w:pPr>
        <w:autoSpaceDE/>
        <w:autoSpaceDN/>
        <w:adjustRightInd/>
        <w:rPr>
          <w:rFonts w:ascii="Times New Roman" w:eastAsia="Times New Roman" w:hAnsi="Times New Roman" w:cs="Times New Roman"/>
          <w:lang w:eastAsia="hu-HU"/>
        </w:rPr>
      </w:pPr>
    </w:p>
    <w:p w14:paraId="615426A8" w14:textId="7B9523AB" w:rsidR="008A6F71" w:rsidRPr="0025405F" w:rsidRDefault="00AA367F" w:rsidP="00525371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25405F">
        <w:rPr>
          <w:rFonts w:ascii="Times New Roman" w:eastAsia="Times New Roman" w:hAnsi="Times New Roman" w:cs="Times New Roman"/>
          <w:lang w:eastAsia="hu-HU"/>
        </w:rPr>
        <w:t>Győrffy</w:t>
      </w:r>
      <w:proofErr w:type="spellEnd"/>
      <w:r w:rsidRPr="0025405F">
        <w:rPr>
          <w:rFonts w:ascii="Times New Roman" w:eastAsia="Times New Roman" w:hAnsi="Times New Roman" w:cs="Times New Roman"/>
          <w:lang w:eastAsia="hu-HU"/>
        </w:rPr>
        <w:t xml:space="preserve"> Z</w:t>
      </w:r>
      <w:r w:rsidR="000A4723" w:rsidRPr="0025405F">
        <w:rPr>
          <w:rFonts w:ascii="Times New Roman" w:eastAsia="Times New Roman" w:hAnsi="Times New Roman" w:cs="Times New Roman"/>
          <w:lang w:eastAsia="hu-HU"/>
        </w:rPr>
        <w:t>.</w:t>
      </w:r>
      <w:r w:rsidRPr="0025405F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25405F">
        <w:rPr>
          <w:rFonts w:ascii="Times New Roman" w:eastAsia="Times New Roman" w:hAnsi="Times New Roman" w:cs="Times New Roman"/>
          <w:lang w:eastAsia="hu-HU"/>
        </w:rPr>
        <w:t>Radó</w:t>
      </w:r>
      <w:proofErr w:type="spellEnd"/>
      <w:r w:rsidRPr="0025405F">
        <w:rPr>
          <w:rFonts w:ascii="Times New Roman" w:eastAsia="Times New Roman" w:hAnsi="Times New Roman" w:cs="Times New Roman"/>
          <w:lang w:eastAsia="hu-HU"/>
        </w:rPr>
        <w:t xml:space="preserve"> N</w:t>
      </w:r>
      <w:r w:rsidR="000A4723" w:rsidRPr="0025405F">
        <w:rPr>
          <w:rFonts w:ascii="Times New Roman" w:eastAsia="Times New Roman" w:hAnsi="Times New Roman" w:cs="Times New Roman"/>
          <w:lang w:eastAsia="hu-HU"/>
        </w:rPr>
        <w:t>.</w:t>
      </w:r>
      <w:r w:rsidRPr="0025405F">
        <w:rPr>
          <w:rFonts w:ascii="Times New Roman" w:eastAsia="Times New Roman" w:hAnsi="Times New Roman" w:cs="Times New Roman"/>
          <w:lang w:eastAsia="hu-HU"/>
        </w:rPr>
        <w:t>, Mesko B.</w:t>
      </w:r>
      <w:r w:rsidR="00525371" w:rsidRPr="0025405F">
        <w:rPr>
          <w:rFonts w:ascii="Times New Roman" w:eastAsia="Times New Roman" w:hAnsi="Times New Roman" w:cs="Times New Roman"/>
          <w:lang w:eastAsia="hu-HU"/>
        </w:rPr>
        <w:t xml:space="preserve"> (2020)</w:t>
      </w:r>
      <w:r w:rsidRPr="0025405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5405F">
        <w:rPr>
          <w:rFonts w:ascii="Times New Roman" w:eastAsia="Times New Roman" w:hAnsi="Times New Roman" w:cs="Times New Roman"/>
          <w:b/>
          <w:bCs/>
          <w:lang w:eastAsia="hu-HU"/>
        </w:rPr>
        <w:t>Digitally engaged physicians about the digital health transition</w:t>
      </w:r>
      <w:r w:rsidRPr="0025405F">
        <w:rPr>
          <w:rFonts w:ascii="Times New Roman" w:eastAsia="Times New Roman" w:hAnsi="Times New Roman" w:cs="Times New Roman"/>
          <w:lang w:eastAsia="hu-HU"/>
        </w:rPr>
        <w:t xml:space="preserve">. </w:t>
      </w:r>
      <w:proofErr w:type="spellStart"/>
      <w:r w:rsidRPr="0025405F">
        <w:rPr>
          <w:rFonts w:ascii="Times New Roman" w:eastAsia="Times New Roman" w:hAnsi="Times New Roman" w:cs="Times New Roman"/>
          <w:lang w:eastAsia="hu-HU"/>
        </w:rPr>
        <w:t>PLoS</w:t>
      </w:r>
      <w:proofErr w:type="spellEnd"/>
      <w:r w:rsidRPr="0025405F">
        <w:rPr>
          <w:rFonts w:ascii="Times New Roman" w:eastAsia="Times New Roman" w:hAnsi="Times New Roman" w:cs="Times New Roman"/>
          <w:lang w:eastAsia="hu-HU"/>
        </w:rPr>
        <w:t xml:space="preserve"> One. 28;15(9):</w:t>
      </w:r>
      <w:r w:rsidR="000A4723" w:rsidRPr="0025405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25405F">
        <w:rPr>
          <w:rFonts w:ascii="Times New Roman" w:eastAsia="Times New Roman" w:hAnsi="Times New Roman" w:cs="Times New Roman"/>
          <w:lang w:eastAsia="hu-HU"/>
        </w:rPr>
        <w:t xml:space="preserve">e0238658. </w:t>
      </w:r>
    </w:p>
    <w:p w14:paraId="64C833E1" w14:textId="77777777" w:rsidR="007974A9" w:rsidRPr="0025405F" w:rsidRDefault="007974A9" w:rsidP="007974A9">
      <w:pPr>
        <w:autoSpaceDE/>
        <w:autoSpaceDN/>
        <w:adjustRightInd/>
        <w:spacing w:line="276" w:lineRule="auto"/>
        <w:ind w:left="1440"/>
        <w:contextualSpacing/>
        <w:rPr>
          <w:rFonts w:ascii="Times New Roman" w:eastAsia="News Cycle" w:hAnsi="Times New Roman" w:cs="Times New Roman"/>
          <w:color w:val="00627F"/>
          <w:lang w:eastAsia="en-GB"/>
        </w:rPr>
      </w:pPr>
    </w:p>
    <w:p w14:paraId="2E4EF95A" w14:textId="58D7AB01" w:rsidR="007974A9" w:rsidRPr="0025405F" w:rsidRDefault="007974A9" w:rsidP="007974A9">
      <w:pPr>
        <w:autoSpaceDE/>
        <w:autoSpaceDN/>
        <w:adjustRightInd/>
        <w:spacing w:line="276" w:lineRule="auto"/>
        <w:contextualSpacing/>
        <w:rPr>
          <w:rFonts w:ascii="Times New Roman" w:eastAsia="Times New Roman" w:hAnsi="Times New Roman" w:cs="Times New Roman"/>
          <w:sz w:val="48"/>
          <w:lang w:eastAsia="en-GB"/>
        </w:rPr>
      </w:pPr>
      <w:bookmarkStart w:id="0" w:name="_Hlk93328787"/>
      <w:r w:rsidRPr="0025405F">
        <w:rPr>
          <w:rFonts w:ascii="Times New Roman" w:eastAsia="News Cycle" w:hAnsi="Times New Roman" w:cs="Times New Roman"/>
          <w:lang w:eastAsia="en-GB"/>
        </w:rPr>
        <w:t xml:space="preserve">Herrmann-Werner, A., Weber, H., </w:t>
      </w:r>
      <w:proofErr w:type="spellStart"/>
      <w:r w:rsidRPr="0025405F">
        <w:rPr>
          <w:rFonts w:ascii="Times New Roman" w:eastAsia="News Cycle" w:hAnsi="Times New Roman" w:cs="Times New Roman"/>
          <w:lang w:eastAsia="en-GB"/>
        </w:rPr>
        <w:t>Loda</w:t>
      </w:r>
      <w:proofErr w:type="spellEnd"/>
      <w:r w:rsidRPr="0025405F">
        <w:rPr>
          <w:rFonts w:ascii="Times New Roman" w:eastAsia="News Cycle" w:hAnsi="Times New Roman" w:cs="Times New Roman"/>
          <w:lang w:eastAsia="en-GB"/>
        </w:rPr>
        <w:t xml:space="preserve">, T., </w:t>
      </w:r>
      <w:proofErr w:type="spellStart"/>
      <w:r w:rsidRPr="0025405F">
        <w:rPr>
          <w:rFonts w:ascii="Times New Roman" w:eastAsia="News Cycle" w:hAnsi="Times New Roman" w:cs="Times New Roman"/>
          <w:lang w:eastAsia="en-GB"/>
        </w:rPr>
        <w:t>Keifenheim</w:t>
      </w:r>
      <w:proofErr w:type="spellEnd"/>
      <w:r w:rsidRPr="0025405F">
        <w:rPr>
          <w:rFonts w:ascii="Times New Roman" w:eastAsia="News Cycle" w:hAnsi="Times New Roman" w:cs="Times New Roman"/>
          <w:lang w:eastAsia="en-GB"/>
        </w:rPr>
        <w:t xml:space="preserve">, K. E., </w:t>
      </w:r>
      <w:proofErr w:type="spellStart"/>
      <w:r w:rsidRPr="0025405F">
        <w:rPr>
          <w:rFonts w:ascii="Times New Roman" w:eastAsia="News Cycle" w:hAnsi="Times New Roman" w:cs="Times New Roman"/>
          <w:lang w:eastAsia="en-GB"/>
        </w:rPr>
        <w:t>Erschens</w:t>
      </w:r>
      <w:proofErr w:type="spellEnd"/>
      <w:r w:rsidRPr="0025405F">
        <w:rPr>
          <w:rFonts w:ascii="Times New Roman" w:eastAsia="News Cycle" w:hAnsi="Times New Roman" w:cs="Times New Roman"/>
          <w:lang w:eastAsia="en-GB"/>
        </w:rPr>
        <w:t xml:space="preserve">, R., </w:t>
      </w:r>
      <w:proofErr w:type="spellStart"/>
      <w:r w:rsidRPr="0025405F">
        <w:rPr>
          <w:rFonts w:ascii="Times New Roman" w:eastAsia="News Cycle" w:hAnsi="Times New Roman" w:cs="Times New Roman"/>
          <w:lang w:eastAsia="en-GB"/>
        </w:rPr>
        <w:t>Mölbert</w:t>
      </w:r>
      <w:proofErr w:type="spellEnd"/>
      <w:r w:rsidRPr="0025405F">
        <w:rPr>
          <w:rFonts w:ascii="Times New Roman" w:eastAsia="News Cycle" w:hAnsi="Times New Roman" w:cs="Times New Roman"/>
          <w:lang w:eastAsia="en-GB"/>
        </w:rPr>
        <w:t xml:space="preserve">, S. C., </w:t>
      </w:r>
      <w:proofErr w:type="spellStart"/>
      <w:r w:rsidRPr="0025405F">
        <w:rPr>
          <w:rFonts w:ascii="Times New Roman" w:eastAsia="News Cycle" w:hAnsi="Times New Roman" w:cs="Times New Roman"/>
          <w:lang w:eastAsia="en-GB"/>
        </w:rPr>
        <w:t>Nikendei</w:t>
      </w:r>
      <w:proofErr w:type="spellEnd"/>
      <w:r w:rsidRPr="0025405F">
        <w:rPr>
          <w:rFonts w:ascii="Times New Roman" w:eastAsia="News Cycle" w:hAnsi="Times New Roman" w:cs="Times New Roman"/>
          <w:lang w:eastAsia="en-GB"/>
        </w:rPr>
        <w:t>, C., Zipfel, S., &amp; Masters, K. (2019). “</w:t>
      </w:r>
      <w:r w:rsidRPr="0025405F">
        <w:rPr>
          <w:rFonts w:ascii="Times New Roman" w:eastAsia="News Cycle" w:hAnsi="Times New Roman" w:cs="Times New Roman"/>
          <w:b/>
          <w:bCs/>
          <w:lang w:eastAsia="en-GB"/>
        </w:rPr>
        <w:t xml:space="preserve">But </w:t>
      </w:r>
      <w:proofErr w:type="spellStart"/>
      <w:r w:rsidRPr="0025405F">
        <w:rPr>
          <w:rFonts w:ascii="Times New Roman" w:eastAsia="News Cycle" w:hAnsi="Times New Roman" w:cs="Times New Roman"/>
          <w:b/>
          <w:bCs/>
          <w:lang w:eastAsia="en-GB"/>
        </w:rPr>
        <w:t>dr</w:t>
      </w:r>
      <w:proofErr w:type="spellEnd"/>
      <w:r w:rsidRPr="0025405F">
        <w:rPr>
          <w:rFonts w:ascii="Times New Roman" w:eastAsia="News Cycle" w:hAnsi="Times New Roman" w:cs="Times New Roman"/>
          <w:b/>
          <w:bCs/>
          <w:lang w:eastAsia="en-GB"/>
        </w:rPr>
        <w:t xml:space="preserve"> google said…” – training medical students how to communicate with e-patients. </w:t>
      </w:r>
      <w:r w:rsidRPr="0025405F">
        <w:rPr>
          <w:rFonts w:ascii="Times New Roman" w:eastAsia="News Cycle" w:hAnsi="Times New Roman" w:cs="Times New Roman"/>
          <w:i/>
          <w:iCs/>
          <w:lang w:eastAsia="en-GB"/>
        </w:rPr>
        <w:t>Medical Teacher</w:t>
      </w:r>
      <w:r w:rsidRPr="0025405F">
        <w:rPr>
          <w:rFonts w:ascii="Times New Roman" w:eastAsia="News Cycle" w:hAnsi="Times New Roman" w:cs="Times New Roman"/>
          <w:lang w:eastAsia="en-GB"/>
        </w:rPr>
        <w:t xml:space="preserve">, </w:t>
      </w:r>
      <w:r w:rsidRPr="0025405F">
        <w:rPr>
          <w:rFonts w:ascii="Times New Roman" w:eastAsia="News Cycle" w:hAnsi="Times New Roman" w:cs="Times New Roman"/>
          <w:i/>
          <w:iCs/>
          <w:lang w:eastAsia="en-GB"/>
        </w:rPr>
        <w:t>41</w:t>
      </w:r>
      <w:r w:rsidRPr="0025405F">
        <w:rPr>
          <w:rFonts w:ascii="Times New Roman" w:eastAsia="News Cycle" w:hAnsi="Times New Roman" w:cs="Times New Roman"/>
          <w:lang w:eastAsia="en-GB"/>
        </w:rPr>
        <w:t xml:space="preserve">(12), 1434–1440. https://doi.org/10.1080/0142159x.2018.1555639 </w:t>
      </w:r>
    </w:p>
    <w:bookmarkEnd w:id="0"/>
    <w:p w14:paraId="5E56D09B" w14:textId="796630BC" w:rsidR="00525371" w:rsidRPr="0025405F" w:rsidRDefault="00525371" w:rsidP="00525371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eastAsia="hu-HU"/>
        </w:rPr>
      </w:pPr>
    </w:p>
    <w:p w14:paraId="60689202" w14:textId="77777777" w:rsidR="007974A9" w:rsidRPr="0025405F" w:rsidRDefault="007974A9" w:rsidP="00525371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eastAsia="hu-HU"/>
        </w:rPr>
      </w:pPr>
    </w:p>
    <w:p w14:paraId="306285F4" w14:textId="15DE1478" w:rsidR="00525371" w:rsidRPr="0025405F" w:rsidRDefault="00525371" w:rsidP="000A4723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Meskó, B., Drobni, Z., </w:t>
      </w:r>
      <w:proofErr w:type="spellStart"/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>Bényei</w:t>
      </w:r>
      <w:proofErr w:type="spellEnd"/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, </w:t>
      </w:r>
      <w:r w:rsidR="0077116E">
        <w:rPr>
          <w:rFonts w:ascii="Times New Roman" w:eastAsia="Times New Roman" w:hAnsi="Times New Roman" w:cs="Times New Roman"/>
          <w:color w:val="000000"/>
          <w:lang w:val="hu-HU" w:eastAsia="hu-HU"/>
        </w:rPr>
        <w:t>É.,</w:t>
      </w: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Gergely, B., &amp; Győrffy, Z. (2017). </w:t>
      </w:r>
      <w:r w:rsidRPr="0025405F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Digital health is a cultural</w:t>
      </w:r>
      <w:r w:rsidR="000A4723" w:rsidRPr="0025405F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 xml:space="preserve"> </w:t>
      </w:r>
      <w:r w:rsidRPr="0025405F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transformation of traditional healthcare.</w:t>
      </w: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> </w:t>
      </w:r>
      <w:r w:rsidRPr="0025405F">
        <w:rPr>
          <w:rFonts w:ascii="Times New Roman" w:eastAsia="Times New Roman" w:hAnsi="Times New Roman" w:cs="Times New Roman"/>
          <w:i/>
          <w:iCs/>
          <w:color w:val="000000"/>
          <w:lang w:val="hu-HU" w:eastAsia="hu-HU"/>
        </w:rPr>
        <w:t>MHealth,3</w:t>
      </w: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>(9).</w:t>
      </w:r>
      <w:r w:rsidR="000A4723"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 </w:t>
      </w:r>
    </w:p>
    <w:p w14:paraId="1AEB20EA" w14:textId="752C4B12" w:rsidR="00525371" w:rsidRPr="0025405F" w:rsidRDefault="00525371" w:rsidP="00347BA2">
      <w:pPr>
        <w:autoSpaceDE/>
        <w:autoSpaceDN/>
        <w:adjustRightInd/>
        <w:ind w:left="567" w:hanging="567"/>
        <w:jc w:val="both"/>
        <w:rPr>
          <w:rFonts w:ascii="Times New Roman" w:eastAsia="Times New Roman" w:hAnsi="Times New Roman" w:cs="Times New Roman"/>
          <w:color w:val="000000"/>
          <w:lang w:val="hu-HU" w:eastAsia="hu-HU"/>
        </w:rPr>
      </w:pPr>
    </w:p>
    <w:p w14:paraId="3F48F543" w14:textId="0A232F94" w:rsidR="00525371" w:rsidRPr="0025405F" w:rsidRDefault="00525371" w:rsidP="000A4723">
      <w:pPr>
        <w:autoSpaceDE/>
        <w:autoSpaceDN/>
        <w:adjustRightInd/>
        <w:jc w:val="both"/>
        <w:rPr>
          <w:rFonts w:ascii="Times New Roman" w:eastAsia="Times New Roman" w:hAnsi="Times New Roman" w:cs="Times New Roman"/>
          <w:color w:val="000000"/>
          <w:lang w:val="hu-HU" w:eastAsia="hu-HU"/>
        </w:rPr>
      </w:pP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Meskó, B. (2014). </w:t>
      </w:r>
      <w:r w:rsidRPr="0025405F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The guide to the future of medicine: technology and the human touch</w:t>
      </w: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>. Webicina Kft.</w:t>
      </w:r>
    </w:p>
    <w:p w14:paraId="3FAFC1A9" w14:textId="77777777" w:rsidR="00492558" w:rsidRPr="0025405F" w:rsidRDefault="00492558" w:rsidP="00492558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eastAsia="hu-HU"/>
        </w:rPr>
      </w:pPr>
    </w:p>
    <w:p w14:paraId="5DAEDDAC" w14:textId="28F48DA3" w:rsidR="00492558" w:rsidRPr="0025405F" w:rsidRDefault="00492558" w:rsidP="00492558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eastAsia="hu-HU"/>
        </w:rPr>
      </w:pPr>
      <w:r w:rsidRPr="0025405F">
        <w:rPr>
          <w:rFonts w:ascii="Times New Roman" w:eastAsia="Times New Roman" w:hAnsi="Times New Roman" w:cs="Times New Roman"/>
          <w:lang w:eastAsia="hu-HU"/>
        </w:rPr>
        <w:t xml:space="preserve">Singh, Sukanya &amp; Banerjee, Amitav. (2019). </w:t>
      </w:r>
      <w:r w:rsidRPr="0025405F">
        <w:rPr>
          <w:rFonts w:ascii="Times New Roman" w:eastAsia="Times New Roman" w:hAnsi="Times New Roman" w:cs="Times New Roman"/>
          <w:b/>
          <w:bCs/>
          <w:lang w:eastAsia="hu-HU"/>
        </w:rPr>
        <w:t>Internet and Doctor–Patient Relationship: Cross</w:t>
      </w:r>
      <w:r w:rsidRPr="0025405F">
        <w:rPr>
          <w:rFonts w:ascii="Times New Roman" w:eastAsia="Times New Roman" w:hAnsi="Times New Roman" w:cs="Times New Roman"/>
          <w:b/>
          <w:bCs/>
          <w:lang w:eastAsia="hu-HU"/>
        </w:rPr>
        <w:noBreakHyphen/>
        <w:t>Sectional Study of Patients</w:t>
      </w:r>
      <w:r w:rsidR="000A4723" w:rsidRPr="0025405F">
        <w:rPr>
          <w:rFonts w:ascii="Times New Roman" w:eastAsia="Times New Roman" w:hAnsi="Times New Roman" w:cs="Times New Roman"/>
          <w:b/>
          <w:bCs/>
          <w:lang w:eastAsia="hu-HU"/>
        </w:rPr>
        <w:t>'</w:t>
      </w:r>
      <w:r w:rsidRPr="0025405F">
        <w:rPr>
          <w:rFonts w:ascii="Times New Roman" w:eastAsia="Times New Roman" w:hAnsi="Times New Roman" w:cs="Times New Roman"/>
          <w:b/>
          <w:bCs/>
          <w:lang w:eastAsia="hu-HU"/>
        </w:rPr>
        <w:t xml:space="preserve"> Perceptions and Practices</w:t>
      </w:r>
      <w:r w:rsidRPr="0025405F">
        <w:rPr>
          <w:rFonts w:ascii="Times New Roman" w:eastAsia="Times New Roman" w:hAnsi="Times New Roman" w:cs="Times New Roman"/>
          <w:lang w:eastAsia="hu-HU"/>
        </w:rPr>
        <w:t xml:space="preserve">. </w:t>
      </w:r>
      <w:r w:rsidRPr="0025405F">
        <w:rPr>
          <w:rFonts w:ascii="Times New Roman" w:eastAsia="Times New Roman" w:hAnsi="Times New Roman" w:cs="Times New Roman"/>
          <w:i/>
          <w:iCs/>
          <w:lang w:eastAsia="hu-HU"/>
        </w:rPr>
        <w:t xml:space="preserve">Indian journal of public health. </w:t>
      </w:r>
      <w:r w:rsidRPr="0025405F">
        <w:rPr>
          <w:rFonts w:ascii="Times New Roman" w:eastAsia="Times New Roman" w:hAnsi="Times New Roman" w:cs="Times New Roman"/>
          <w:lang w:eastAsia="hu-HU"/>
        </w:rPr>
        <w:t>63. 215-219.</w:t>
      </w:r>
    </w:p>
    <w:p w14:paraId="09ADD0C0" w14:textId="77777777" w:rsidR="00A56B74" w:rsidRPr="0025405F" w:rsidRDefault="00A56B74" w:rsidP="00A56B74">
      <w:pPr>
        <w:autoSpaceDE/>
        <w:autoSpaceDN/>
        <w:adjustRightInd/>
        <w:rPr>
          <w:rFonts w:ascii="Times New Roman" w:eastAsia="Times New Roman" w:hAnsi="Times New Roman" w:cs="Times New Roman"/>
          <w:lang w:val="hu-HU" w:eastAsia="hu-HU"/>
        </w:rPr>
      </w:pPr>
    </w:p>
    <w:p w14:paraId="3B6CFB88" w14:textId="77777777" w:rsidR="00A56B74" w:rsidRPr="0025405F" w:rsidRDefault="00A56B74" w:rsidP="00A56B74">
      <w:pPr>
        <w:autoSpaceDE/>
        <w:autoSpaceDN/>
        <w:adjustRightInd/>
        <w:rPr>
          <w:rFonts w:ascii="Times New Roman" w:eastAsia="Times New Roman" w:hAnsi="Times New Roman" w:cs="Times New Roman"/>
          <w:lang w:val="hu-HU" w:eastAsia="hu-HU"/>
        </w:rPr>
      </w:pPr>
    </w:p>
    <w:p w14:paraId="5EFA5437" w14:textId="77777777" w:rsidR="00A56B74" w:rsidRPr="0025405F" w:rsidRDefault="00A56B74" w:rsidP="000A4723">
      <w:pPr>
        <w:autoSpaceDE/>
        <w:autoSpaceDN/>
        <w:adjustRightInd/>
        <w:jc w:val="both"/>
        <w:rPr>
          <w:rFonts w:ascii="Times New Roman" w:eastAsia="Times New Roman" w:hAnsi="Times New Roman" w:cs="Times New Roman"/>
          <w:lang w:val="hu-HU" w:eastAsia="hu-HU"/>
        </w:rPr>
      </w:pP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 xml:space="preserve">Wald, HS, Dube, CE, Anthony, DC. 2007. </w:t>
      </w:r>
      <w:r w:rsidRPr="0025405F">
        <w:rPr>
          <w:rFonts w:ascii="Times New Roman" w:eastAsia="Times New Roman" w:hAnsi="Times New Roman" w:cs="Times New Roman"/>
          <w:b/>
          <w:bCs/>
          <w:color w:val="000000"/>
          <w:lang w:val="hu-HU" w:eastAsia="hu-HU"/>
        </w:rPr>
        <w:t>Untangling the Web—the impact of internet use on health care and the physician-patient relationship</w:t>
      </w:r>
      <w:r w:rsidRPr="0025405F">
        <w:rPr>
          <w:rFonts w:ascii="Times New Roman" w:eastAsia="Times New Roman" w:hAnsi="Times New Roman" w:cs="Times New Roman"/>
          <w:color w:val="000000"/>
          <w:lang w:val="hu-HU" w:eastAsia="hu-HU"/>
        </w:rPr>
        <w:t>. Patient Educ Couns. 2007;68(3):218–224.</w:t>
      </w:r>
    </w:p>
    <w:p w14:paraId="447DAA95" w14:textId="77777777" w:rsidR="00A56B74" w:rsidRPr="0025405F" w:rsidRDefault="00A56B74" w:rsidP="00A56B74">
      <w:pPr>
        <w:autoSpaceDE/>
        <w:autoSpaceDN/>
        <w:adjustRightInd/>
        <w:spacing w:after="240"/>
        <w:rPr>
          <w:rFonts w:ascii="Times New Roman" w:eastAsia="Times New Roman" w:hAnsi="Times New Roman" w:cs="Times New Roman"/>
          <w:lang w:val="hu-HU" w:eastAsia="hu-HU"/>
        </w:rPr>
      </w:pPr>
    </w:p>
    <w:p w14:paraId="4197BED6" w14:textId="77777777" w:rsidR="00347BA2" w:rsidRPr="0025405F" w:rsidRDefault="00347BA2">
      <w:pPr>
        <w:autoSpaceDE/>
        <w:autoSpaceDN/>
        <w:adjustRightInd/>
        <w:ind w:left="567" w:hanging="567"/>
        <w:jc w:val="both"/>
        <w:rPr>
          <w:rFonts w:ascii="Times New Roman" w:hAnsi="Times New Roman" w:cs="Times New Roman"/>
        </w:rPr>
      </w:pPr>
    </w:p>
    <w:sectPr w:rsidR="00347BA2" w:rsidRPr="0025405F" w:rsidSect="00F07C8F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Cycle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-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29ED"/>
    <w:multiLevelType w:val="hybridMultilevel"/>
    <w:tmpl w:val="7F8A765A"/>
    <w:lvl w:ilvl="0" w:tplc="2CE0D97E">
      <w:numFmt w:val="bullet"/>
      <w:pStyle w:val="Cmsor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pStyle w:val="Cmsor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79303C"/>
    <w:multiLevelType w:val="hybridMultilevel"/>
    <w:tmpl w:val="356A9F98"/>
    <w:lvl w:ilvl="0" w:tplc="2CB69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Cycle" w:hAnsi="News Cycle" w:hint="default"/>
      </w:rPr>
    </w:lvl>
    <w:lvl w:ilvl="1" w:tplc="BA028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Cycle" w:hAnsi="News Cycle" w:hint="default"/>
      </w:rPr>
    </w:lvl>
    <w:lvl w:ilvl="2" w:tplc="9244C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Cycle" w:hAnsi="News Cycle" w:hint="default"/>
      </w:rPr>
    </w:lvl>
    <w:lvl w:ilvl="3" w:tplc="277C3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Cycle" w:hAnsi="News Cycle" w:hint="default"/>
      </w:rPr>
    </w:lvl>
    <w:lvl w:ilvl="4" w:tplc="0FD22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Cycle" w:hAnsi="News Cycle" w:hint="default"/>
      </w:rPr>
    </w:lvl>
    <w:lvl w:ilvl="5" w:tplc="7FB00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Cycle" w:hAnsi="News Cycle" w:hint="default"/>
      </w:rPr>
    </w:lvl>
    <w:lvl w:ilvl="6" w:tplc="96C6D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Cycle" w:hAnsi="News Cycle" w:hint="default"/>
      </w:rPr>
    </w:lvl>
    <w:lvl w:ilvl="7" w:tplc="570495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Cycle" w:hAnsi="News Cycle" w:hint="default"/>
      </w:rPr>
    </w:lvl>
    <w:lvl w:ilvl="8" w:tplc="5CA6E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Cycle" w:hAnsi="News Cycle" w:hint="default"/>
      </w:rPr>
    </w:lvl>
  </w:abstractNum>
  <w:abstractNum w:abstractNumId="2" w15:restartNumberingAfterBreak="0">
    <w:nsid w:val="6A5F05D8"/>
    <w:multiLevelType w:val="hybridMultilevel"/>
    <w:tmpl w:val="B6DA666C"/>
    <w:lvl w:ilvl="0" w:tplc="A7E6C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News Cycle" w:hAnsi="News Cycle" w:hint="default"/>
      </w:rPr>
    </w:lvl>
    <w:lvl w:ilvl="1" w:tplc="709A42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News Cycle" w:hAnsi="News Cycle" w:hint="default"/>
      </w:rPr>
    </w:lvl>
    <w:lvl w:ilvl="2" w:tplc="C0921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News Cycle" w:hAnsi="News Cycle" w:hint="default"/>
      </w:rPr>
    </w:lvl>
    <w:lvl w:ilvl="3" w:tplc="F81AB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News Cycle" w:hAnsi="News Cycle" w:hint="default"/>
      </w:rPr>
    </w:lvl>
    <w:lvl w:ilvl="4" w:tplc="1ECA7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News Cycle" w:hAnsi="News Cycle" w:hint="default"/>
      </w:rPr>
    </w:lvl>
    <w:lvl w:ilvl="5" w:tplc="ADECD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News Cycle" w:hAnsi="News Cycle" w:hint="default"/>
      </w:rPr>
    </w:lvl>
    <w:lvl w:ilvl="6" w:tplc="7FA68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News Cycle" w:hAnsi="News Cycle" w:hint="default"/>
      </w:rPr>
    </w:lvl>
    <w:lvl w:ilvl="7" w:tplc="A3AC9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News Cycle" w:hAnsi="News Cycle" w:hint="default"/>
      </w:rPr>
    </w:lvl>
    <w:lvl w:ilvl="8" w:tplc="774AD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News Cycle" w:hAnsi="News Cycle" w:hint="default"/>
      </w:rPr>
    </w:lvl>
  </w:abstractNum>
  <w:abstractNum w:abstractNumId="3" w15:restartNumberingAfterBreak="0">
    <w:nsid w:val="74791B5C"/>
    <w:multiLevelType w:val="hybridMultilevel"/>
    <w:tmpl w:val="2FDEE5A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xNTe1sDAwtDQ1NDZR0lEKTi0uzszPAykwqQUAPzf5MSwAAAA="/>
  </w:docVars>
  <w:rsids>
    <w:rsidRoot w:val="00A56B74"/>
    <w:rsid w:val="000A4723"/>
    <w:rsid w:val="000B652B"/>
    <w:rsid w:val="00177DD6"/>
    <w:rsid w:val="001971E0"/>
    <w:rsid w:val="002161B9"/>
    <w:rsid w:val="0025405F"/>
    <w:rsid w:val="00313B68"/>
    <w:rsid w:val="00347BA2"/>
    <w:rsid w:val="00392BC5"/>
    <w:rsid w:val="003C45FB"/>
    <w:rsid w:val="00492558"/>
    <w:rsid w:val="004B46C0"/>
    <w:rsid w:val="00525371"/>
    <w:rsid w:val="005605EA"/>
    <w:rsid w:val="00684CC4"/>
    <w:rsid w:val="00697933"/>
    <w:rsid w:val="00703452"/>
    <w:rsid w:val="00715D62"/>
    <w:rsid w:val="0077116E"/>
    <w:rsid w:val="00793F51"/>
    <w:rsid w:val="007974A9"/>
    <w:rsid w:val="00847139"/>
    <w:rsid w:val="008A6F71"/>
    <w:rsid w:val="008F0178"/>
    <w:rsid w:val="009F7AF1"/>
    <w:rsid w:val="00A56B74"/>
    <w:rsid w:val="00AA367F"/>
    <w:rsid w:val="00AE3670"/>
    <w:rsid w:val="00BE51C0"/>
    <w:rsid w:val="00C61264"/>
    <w:rsid w:val="00D31C00"/>
    <w:rsid w:val="00E633AC"/>
    <w:rsid w:val="00EB0F10"/>
    <w:rsid w:val="00EB64E9"/>
    <w:rsid w:val="00EF43BB"/>
    <w:rsid w:val="00F07C8F"/>
    <w:rsid w:val="00F1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3BE2E"/>
  <w15:docId w15:val="{26ED0E89-538A-476B-A0C8-796534A2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161B9"/>
    <w:pPr>
      <w:autoSpaceDE w:val="0"/>
      <w:autoSpaceDN w:val="0"/>
      <w:adjustRightInd w:val="0"/>
    </w:pPr>
    <w:rPr>
      <w:rFonts w:ascii="H-Arial" w:hAnsi="H-Arial" w:cs="H-Arial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qFormat/>
    <w:rsid w:val="002161B9"/>
    <w:pPr>
      <w:keepNext/>
      <w:numPr>
        <w:numId w:val="2"/>
      </w:numPr>
      <w:suppressAutoHyphens/>
      <w:autoSpaceDE/>
      <w:autoSpaceDN/>
      <w:adjustRightInd/>
      <w:jc w:val="center"/>
      <w:outlineLvl w:val="0"/>
    </w:pPr>
    <w:rPr>
      <w:rFonts w:ascii="Times New Roman" w:eastAsia="Times New Roman" w:hAnsi="Times New Roman" w:cs="Times New Roman"/>
      <w:i/>
      <w:iCs/>
      <w:szCs w:val="20"/>
      <w:lang w:val="hu-HU" w:eastAsia="ar-SA"/>
    </w:rPr>
  </w:style>
  <w:style w:type="paragraph" w:styleId="Cmsor2">
    <w:name w:val="heading 2"/>
    <w:basedOn w:val="Norml"/>
    <w:next w:val="Norml"/>
    <w:link w:val="Cmsor2Char"/>
    <w:qFormat/>
    <w:rsid w:val="002161B9"/>
    <w:pPr>
      <w:keepNext/>
      <w:numPr>
        <w:ilvl w:val="1"/>
        <w:numId w:val="1"/>
      </w:numPr>
      <w:suppressAutoHyphens/>
      <w:autoSpaceDN/>
      <w:adjustRightInd/>
      <w:outlineLvl w:val="1"/>
    </w:pPr>
    <w:rPr>
      <w:rFonts w:ascii="Times New Roman" w:eastAsia="Times New Roman" w:hAnsi="Times New Roman" w:cs="Times New Roman"/>
      <w:sz w:val="28"/>
      <w:szCs w:val="18"/>
      <w:lang w:val="hu-HU" w:eastAsia="ar-SA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161B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2161B9"/>
    <w:rPr>
      <w:rFonts w:ascii="Times New Roman" w:eastAsia="Times New Roman" w:hAnsi="Times New Roman"/>
      <w:i/>
      <w:iCs/>
      <w:sz w:val="24"/>
      <w:lang w:eastAsia="ar-SA"/>
    </w:rPr>
  </w:style>
  <w:style w:type="character" w:customStyle="1" w:styleId="Cmsor2Char">
    <w:name w:val="Címsor 2 Char"/>
    <w:link w:val="Cmsor2"/>
    <w:rsid w:val="002161B9"/>
    <w:rPr>
      <w:rFonts w:ascii="Times New Roman" w:eastAsia="Times New Roman" w:hAnsi="Times New Roman"/>
      <w:sz w:val="28"/>
      <w:szCs w:val="18"/>
      <w:lang w:eastAsia="ar-SA"/>
    </w:rPr>
  </w:style>
  <w:style w:type="character" w:customStyle="1" w:styleId="Cmsor3Char">
    <w:name w:val="Címsor 3 Char"/>
    <w:link w:val="Cmsor3"/>
    <w:uiPriority w:val="9"/>
    <w:rsid w:val="002161B9"/>
    <w:rPr>
      <w:rFonts w:ascii="Cambria" w:eastAsia="Times New Roman" w:hAnsi="Cambria"/>
      <w:b/>
      <w:bCs/>
      <w:sz w:val="26"/>
      <w:szCs w:val="26"/>
      <w:lang w:val="en-GB"/>
    </w:rPr>
  </w:style>
  <w:style w:type="paragraph" w:styleId="Listaszerbekezds">
    <w:name w:val="List Paragraph"/>
    <w:basedOn w:val="Norml"/>
    <w:uiPriority w:val="34"/>
    <w:qFormat/>
    <w:rsid w:val="002161B9"/>
    <w:pPr>
      <w:ind w:left="720"/>
      <w:contextualSpacing/>
    </w:pPr>
    <w:rPr>
      <w:rFonts w:eastAsia="Times New Roman"/>
    </w:rPr>
  </w:style>
  <w:style w:type="paragraph" w:styleId="NormlWeb">
    <w:name w:val="Normal (Web)"/>
    <w:basedOn w:val="Norml"/>
    <w:uiPriority w:val="99"/>
    <w:semiHidden/>
    <w:unhideWhenUsed/>
    <w:rsid w:val="00A56B7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56B7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392BC5"/>
    <w:rPr>
      <w:i/>
      <w:iCs/>
    </w:rPr>
  </w:style>
  <w:style w:type="paragraph" w:styleId="Vltozat">
    <w:name w:val="Revision"/>
    <w:hidden/>
    <w:uiPriority w:val="99"/>
    <w:semiHidden/>
    <w:rsid w:val="003C45FB"/>
    <w:rPr>
      <w:rFonts w:ascii="H-Arial" w:hAnsi="H-Arial" w:cs="H-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01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18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1056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Szántóné Dr Csongor Alexandra</cp:lastModifiedBy>
  <cp:revision>6</cp:revision>
  <dcterms:created xsi:type="dcterms:W3CDTF">2022-01-17T15:06:00Z</dcterms:created>
  <dcterms:modified xsi:type="dcterms:W3CDTF">2022-01-28T09:21:00Z</dcterms:modified>
</cp:coreProperties>
</file>