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DD" w:rsidRDefault="00577DDD">
      <w:pPr>
        <w:pStyle w:val="lfej"/>
      </w:pPr>
    </w:p>
    <w:p w:rsidR="00AF1191" w:rsidRDefault="00AF1191">
      <w:pPr>
        <w:pStyle w:val="lfej"/>
      </w:pPr>
    </w:p>
    <w:p w:rsidR="00405EB3" w:rsidRDefault="00405EB3" w:rsidP="00E06BBD">
      <w:pPr>
        <w:pStyle w:val="lfej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Tisztelt </w:t>
      </w:r>
      <w:r w:rsidR="00727F99">
        <w:rPr>
          <w:rFonts w:ascii="Arial" w:hAnsi="Arial" w:cs="Arial"/>
          <w:b/>
        </w:rPr>
        <w:t>Munkavállalók</w:t>
      </w:r>
      <w:r w:rsidR="00BF6497">
        <w:rPr>
          <w:rFonts w:ascii="Arial" w:hAnsi="Arial" w:cs="Arial"/>
          <w:b/>
        </w:rPr>
        <w:t>!</w:t>
      </w:r>
    </w:p>
    <w:p w:rsidR="00727F99" w:rsidRPr="00361132" w:rsidRDefault="00727F99" w:rsidP="00E06BBD">
      <w:pPr>
        <w:pStyle w:val="lfej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Tisztelt szakszervezeti tagok!</w:t>
      </w:r>
      <w:bookmarkStart w:id="0" w:name="_GoBack"/>
      <w:bookmarkEnd w:id="0"/>
    </w:p>
    <w:p w:rsidR="00405EB3" w:rsidRPr="00361132" w:rsidRDefault="00405EB3" w:rsidP="00E06BBD">
      <w:pPr>
        <w:pStyle w:val="lfej"/>
        <w:rPr>
          <w:rFonts w:ascii="Arial" w:hAnsi="Arial" w:cs="Arial"/>
          <w:b/>
        </w:rPr>
      </w:pPr>
    </w:p>
    <w:p w:rsidR="00405EB3" w:rsidRPr="00361132" w:rsidRDefault="00405EB3" w:rsidP="00405EB3">
      <w:pPr>
        <w:pStyle w:val="lfej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A PTE Szenátusa 2021. január 29-i ülésén döntött </w:t>
      </w:r>
      <w:r w:rsidR="007008F8" w:rsidRPr="00361132">
        <w:rPr>
          <w:rFonts w:ascii="Arial" w:hAnsi="Arial" w:cs="Arial"/>
          <w:b/>
        </w:rPr>
        <w:t xml:space="preserve">a PTE modellváltásával kapcsolatban </w:t>
      </w:r>
      <w:r w:rsidRPr="00361132">
        <w:rPr>
          <w:rFonts w:ascii="Arial" w:hAnsi="Arial" w:cs="Arial"/>
          <w:b/>
        </w:rPr>
        <w:t>két határozati javaslat elfogadásával.</w:t>
      </w:r>
    </w:p>
    <w:p w:rsidR="007008F8" w:rsidRPr="00361132" w:rsidRDefault="007008F8" w:rsidP="00405EB3">
      <w:pPr>
        <w:pStyle w:val="lfej"/>
        <w:rPr>
          <w:rFonts w:ascii="Arial" w:hAnsi="Arial" w:cs="Arial"/>
          <w:b/>
        </w:rPr>
      </w:pPr>
    </w:p>
    <w:p w:rsidR="00405EB3" w:rsidRPr="00361132" w:rsidRDefault="00405EB3" w:rsidP="00361132">
      <w:pPr>
        <w:pStyle w:val="lfej"/>
        <w:numPr>
          <w:ilvl w:val="0"/>
          <w:numId w:val="9"/>
        </w:numPr>
        <w:jc w:val="both"/>
        <w:rPr>
          <w:rFonts w:ascii="Arial" w:hAnsi="Arial" w:cs="Arial"/>
          <w:b/>
          <w:i/>
          <w:u w:val="single"/>
        </w:rPr>
      </w:pPr>
      <w:r w:rsidRPr="00361132">
        <w:rPr>
          <w:rFonts w:ascii="Arial" w:hAnsi="Arial" w:cs="Arial"/>
          <w:b/>
          <w:i/>
          <w:u w:val="single"/>
        </w:rPr>
        <w:t>határozati javaslat: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</w:rPr>
        <w:t>A Szenátus felhívja az Egyetemet a modellváltásra irányuló tárgyalásokon képviselőket, hogy az ez idő szerinti és az alapítványi fenntartóval folytatandó tárgyalások során törekedjenek az alábbi szempontok érvényesítésére!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I.</w:t>
      </w:r>
      <w:r w:rsidRPr="00361132">
        <w:rPr>
          <w:rFonts w:ascii="Arial" w:hAnsi="Arial" w:cs="Arial"/>
        </w:rPr>
        <w:t xml:space="preserve"> A </w:t>
      </w:r>
      <w:r w:rsidRPr="00361132"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  <w:t xml:space="preserve">közérdekű vagyonkezelő alapítványi </w:t>
      </w:r>
      <w:r w:rsidRPr="00361132">
        <w:rPr>
          <w:rFonts w:ascii="Arial" w:hAnsi="Arial" w:cs="Arial"/>
        </w:rPr>
        <w:t>fenntartású Egyetem biztosítja az oktatás, kutatás, tudomány és művészet szabad művelését, s e körben a rektor és a Szenátus ez idő szerinti, a nemzeti felsőoktatásról szóló 2011. évi CCIV. törvényben (</w:t>
      </w:r>
      <w:proofErr w:type="spellStart"/>
      <w:r w:rsidRPr="00361132">
        <w:rPr>
          <w:rFonts w:ascii="Arial" w:hAnsi="Arial" w:cs="Arial"/>
        </w:rPr>
        <w:t>Nftv</w:t>
      </w:r>
      <w:proofErr w:type="spellEnd"/>
      <w:r w:rsidRPr="00361132">
        <w:rPr>
          <w:rFonts w:ascii="Arial" w:hAnsi="Arial" w:cs="Arial"/>
        </w:rPr>
        <w:t>.) biztosított döntési jogkörei ne csorbuljanak. Az Egyetem hozzon létre a működését, finanszírozását és fejlesztését tartósan biztosító megállapodást a kormányzattal.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II.</w:t>
      </w:r>
      <w:r w:rsidRPr="00361132">
        <w:rPr>
          <w:rFonts w:ascii="Arial" w:hAnsi="Arial" w:cs="Arial"/>
        </w:rPr>
        <w:t xml:space="preserve"> A modellváltás során meg kell őrizni az Egyetem egységét: a modellváltásra a Klinikai Központot, valamennyi kart, önálló szervezeti egységet és az Egyetem által fenntartott intézményeket magában foglaló, a nem pécsi székhelyű, illetve telephelyű szervezeti egységekre is kiterjedő egységben kerüljön sor.</w:t>
      </w:r>
    </w:p>
    <w:p w:rsidR="007008F8" w:rsidRPr="00361132" w:rsidRDefault="007008F8" w:rsidP="00361132">
      <w:pPr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III.</w:t>
      </w:r>
      <w:r w:rsidRPr="00361132">
        <w:rPr>
          <w:rFonts w:ascii="Arial" w:hAnsi="Arial" w:cs="Arial"/>
        </w:rPr>
        <w:t xml:space="preserve"> Az egyetemi autonómia sarkalatos elemei a vagyonkezelő alapítvány létrehozására, az alapítvány és az Egyetem részére vagyonjuttatásra vonatkozó </w:t>
      </w:r>
      <w:proofErr w:type="gramStart"/>
      <w:r w:rsidRPr="00361132">
        <w:rPr>
          <w:rFonts w:ascii="Arial" w:hAnsi="Arial" w:cs="Arial"/>
        </w:rPr>
        <w:t>törvényben</w:t>
      </w:r>
      <w:proofErr w:type="gramEnd"/>
      <w:r w:rsidRPr="00361132">
        <w:rPr>
          <w:rFonts w:ascii="Arial" w:hAnsi="Arial" w:cs="Arial"/>
        </w:rPr>
        <w:t xml:space="preserve">, valamint az alapítvány és az Egyetem alapító okiratában rögzítendők. Az Egyetem képviselői ennek érdekében folytassanak tárgyalást az alapítvány kuratóriumával is. </w:t>
      </w:r>
    </w:p>
    <w:p w:rsidR="00405EB3" w:rsidRPr="00361132" w:rsidRDefault="00405EB3" w:rsidP="00361132">
      <w:pPr>
        <w:jc w:val="both"/>
        <w:rPr>
          <w:rFonts w:ascii="Arial" w:hAnsi="Arial" w:cs="Arial"/>
          <w:b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 xml:space="preserve">IV. </w:t>
      </w:r>
      <w:r w:rsidRPr="00361132">
        <w:rPr>
          <w:rFonts w:ascii="Arial" w:hAnsi="Arial" w:cs="Arial"/>
        </w:rPr>
        <w:t xml:space="preserve">Az Egyetem képviselői a </w:t>
      </w:r>
      <w:r w:rsidRPr="00361132"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  <w:t xml:space="preserve">közérdekű vagyonkezelő alapítvány kuratóriumának létrehozása érdekében a fenntartó számára az alábbi javaslatokat tegyék.  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1.</w:t>
      </w:r>
      <w:r w:rsidRPr="00361132">
        <w:rPr>
          <w:rFonts w:ascii="Arial" w:hAnsi="Arial" w:cs="Arial"/>
        </w:rPr>
        <w:t xml:space="preserve"> A kuratóriumnak legalább hét tagja legyen, figyelemmel az Egyetem sokrétű tevékenységére és összetett képzési portfóliójára.</w:t>
      </w:r>
    </w:p>
    <w:p w:rsidR="00405EB3" w:rsidRPr="00361132" w:rsidRDefault="00405EB3" w:rsidP="00361132">
      <w:pPr>
        <w:pStyle w:val="xmsonormal"/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  <w:color w:val="000000" w:themeColor="text1"/>
        </w:rPr>
        <w:t>2</w:t>
      </w:r>
      <w:r w:rsidRPr="00361132">
        <w:rPr>
          <w:rFonts w:ascii="Arial" w:hAnsi="Arial" w:cs="Arial"/>
          <w:color w:val="000000" w:themeColor="text1"/>
        </w:rPr>
        <w:t xml:space="preserve">. A kuratórium tagjainak kijelölése során </w:t>
      </w:r>
      <w:r w:rsidRPr="00361132">
        <w:rPr>
          <w:rFonts w:ascii="Arial" w:hAnsi="Arial" w:cs="Arial"/>
          <w:bCs/>
          <w:color w:val="000000" w:themeColor="text1"/>
        </w:rPr>
        <w:t>az Egyetem javaslatára – melyben egy fő esetén javaslattételre az Egyetemi Hallgatói Önkormányzat, a Doktorandusz Önkormányzat véleményének figyelembevételével jogosult –</w:t>
      </w:r>
      <w:r w:rsidRPr="00361132">
        <w:rPr>
          <w:rFonts w:ascii="Arial" w:hAnsi="Arial" w:cs="Arial"/>
          <w:color w:val="000000" w:themeColor="text1"/>
        </w:rPr>
        <w:t xml:space="preserve"> figyelemmel érvényesüljön a közigazgatás, a </w:t>
      </w:r>
      <w:r w:rsidRPr="00361132">
        <w:rPr>
          <w:rFonts w:ascii="Arial" w:hAnsi="Arial" w:cs="Arial"/>
        </w:rPr>
        <w:t xml:space="preserve">felsőoktatás-politika, a gazdaság és a tudományos élet képviselete, annak érdekében, hogy a kuratórium segítse elő az Egyetem fejlesztési céljainak, különösen az oktatás korszerűsítésének, modern infrastruktúra kialakításának, a nemzetközi kutatási, művészeti tevékenység erősítésének célját.  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V.</w:t>
      </w:r>
      <w:r w:rsidRPr="00361132">
        <w:rPr>
          <w:rFonts w:ascii="Arial" w:hAnsi="Arial" w:cs="Arial"/>
        </w:rPr>
        <w:t xml:space="preserve"> Az Egyetem alapító okirata kiadásának és módosításának során a kuratórium legyen figyelemmel a Szenátus véleményére.</w:t>
      </w:r>
    </w:p>
    <w:p w:rsidR="00405EB3" w:rsidRPr="00361132" w:rsidRDefault="00405EB3" w:rsidP="00361132">
      <w:pPr>
        <w:jc w:val="both"/>
        <w:rPr>
          <w:rFonts w:ascii="Arial" w:hAnsi="Arial" w:cs="Arial"/>
          <w:b/>
        </w:rPr>
      </w:pPr>
    </w:p>
    <w:p w:rsidR="00405EB3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 xml:space="preserve">VI. </w:t>
      </w:r>
      <w:r w:rsidRPr="00361132">
        <w:rPr>
          <w:rFonts w:ascii="Arial" w:hAnsi="Arial" w:cs="Arial"/>
        </w:rPr>
        <w:t>Az Egyetem szervezeti és működési szabályzata kialakításának jogát – azonosan az ez idő szerint fennálló helyzettel – a Szenátus számára kell biztosítani azzal, hogy a Szenátus e jogát a kuratóriummal együttműködve gyakorolja.</w:t>
      </w:r>
    </w:p>
    <w:p w:rsidR="00361132" w:rsidRDefault="00361132" w:rsidP="00361132">
      <w:pPr>
        <w:jc w:val="both"/>
        <w:rPr>
          <w:rFonts w:ascii="Arial" w:hAnsi="Arial" w:cs="Arial"/>
        </w:rPr>
      </w:pPr>
    </w:p>
    <w:p w:rsidR="00E06BBD" w:rsidRDefault="00E06BBD" w:rsidP="00361132">
      <w:pPr>
        <w:jc w:val="both"/>
        <w:rPr>
          <w:rFonts w:ascii="Arial" w:hAnsi="Arial" w:cs="Arial"/>
        </w:rPr>
      </w:pPr>
    </w:p>
    <w:p w:rsidR="00E06BBD" w:rsidRPr="00361132" w:rsidRDefault="00E06BBD" w:rsidP="00361132">
      <w:pPr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  <w:b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 xml:space="preserve">VII. </w:t>
      </w:r>
      <w:r w:rsidRPr="00361132">
        <w:rPr>
          <w:rFonts w:ascii="Arial" w:hAnsi="Arial" w:cs="Arial"/>
        </w:rPr>
        <w:t>Az Egyetem alapító okirata biztosítsa annak lehetőségét, hogy a Szenátus a modellváltást követően is javaslatot tegyen a rektori pályázati felhívás tartalmára és rangsorolja a rektori pályázatokat.</w:t>
      </w:r>
    </w:p>
    <w:p w:rsidR="00405EB3" w:rsidRPr="00361132" w:rsidRDefault="00405EB3" w:rsidP="00361132">
      <w:pPr>
        <w:pStyle w:val="Listaszerbekezds"/>
        <w:ind w:left="1080"/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VIII.</w:t>
      </w:r>
      <w:r w:rsidRPr="00361132">
        <w:rPr>
          <w:rFonts w:ascii="Arial" w:hAnsi="Arial" w:cs="Arial"/>
        </w:rPr>
        <w:t xml:space="preserve"> A vagyonkezelő alapítvány alapító okiratának és az Egyetem új alapító okiratának előkészítésében az Egyetem érdemben vegyen részt delegált képviselője/képviselői útján. Az alapító dokumentumok előkészítésében biztosítani kell az Egyetem által fenntartott intézmények képviselőinek részvételét. </w:t>
      </w:r>
    </w:p>
    <w:p w:rsidR="00405EB3" w:rsidRPr="00361132" w:rsidRDefault="00405EB3" w:rsidP="00361132">
      <w:pPr>
        <w:pStyle w:val="Listaszerbekezds"/>
        <w:ind w:left="1080"/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  <w:strike/>
        </w:rPr>
      </w:pPr>
      <w:r w:rsidRPr="00361132">
        <w:rPr>
          <w:rFonts w:ascii="Arial" w:hAnsi="Arial" w:cs="Arial"/>
          <w:b/>
        </w:rPr>
        <w:t>IX.</w:t>
      </w:r>
      <w:r w:rsidRPr="00361132">
        <w:rPr>
          <w:rFonts w:ascii="Arial" w:hAnsi="Arial" w:cs="Arial"/>
        </w:rPr>
        <w:t xml:space="preserve"> Az Egyetem képviselői tegyenek arra vonatkozó javaslatot, hogy a kuratórium egyetemfejlesztő tevékenységéről rendszeresen tájékoztassa a Szenátust. </w:t>
      </w:r>
    </w:p>
    <w:p w:rsidR="00405EB3" w:rsidRPr="00361132" w:rsidRDefault="00405EB3" w:rsidP="00361132">
      <w:pPr>
        <w:pStyle w:val="Listaszerbekezds"/>
        <w:ind w:left="1080"/>
        <w:jc w:val="both"/>
        <w:rPr>
          <w:rFonts w:ascii="Arial" w:hAnsi="Arial" w:cs="Arial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X.</w:t>
      </w:r>
      <w:r w:rsidRPr="00361132">
        <w:rPr>
          <w:rFonts w:ascii="Arial" w:hAnsi="Arial" w:cs="Arial"/>
        </w:rPr>
        <w:t xml:space="preserve"> A modellváltás valósítsa meg az Egyetemen foglalkoztatottak élet- és munkakörülményeinek, különösen – teljesítmény-értékelésen alapuló – díjazásának javítását. Az Egyetem által foglalkoztatottak díjazására és egyéb juttatásaira vonatkozó szabályokat – a törvényes feltételek mellett, illetve keretek között – kollektív szerződés állapítsa meg. </w:t>
      </w:r>
    </w:p>
    <w:p w:rsidR="00405EB3" w:rsidRPr="00361132" w:rsidRDefault="00405EB3" w:rsidP="00361132">
      <w:pPr>
        <w:jc w:val="both"/>
        <w:rPr>
          <w:rFonts w:ascii="Arial" w:hAnsi="Arial" w:cs="Arial"/>
          <w:b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XI.</w:t>
      </w:r>
      <w:r w:rsidRPr="00361132">
        <w:rPr>
          <w:rFonts w:ascii="Arial" w:hAnsi="Arial" w:cs="Arial"/>
        </w:rPr>
        <w:t xml:space="preserve"> A modellváltást követően az Egyetem Klinikai Központjában foglalkoztatottak tekintetében alkalmazni kell az egészségügyi szolgálati jogviszonyról szóló törvény rendelkezéseit, és biztosítani kell az oktatásban részt vevő foglalkoztatottak megfelelő többletdíjazását is.</w:t>
      </w:r>
    </w:p>
    <w:p w:rsidR="00405EB3" w:rsidRPr="00361132" w:rsidRDefault="00405EB3" w:rsidP="00361132">
      <w:pPr>
        <w:jc w:val="both"/>
        <w:rPr>
          <w:rFonts w:ascii="Arial" w:hAnsi="Arial" w:cs="Arial"/>
          <w:b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 xml:space="preserve">XII. </w:t>
      </w:r>
      <w:r w:rsidRPr="00361132">
        <w:rPr>
          <w:rFonts w:ascii="Arial" w:hAnsi="Arial" w:cs="Arial"/>
        </w:rPr>
        <w:t>A hallgatók tanulmányi és szociális ösztöndíjakhoz való jogait – legalább az ez idő szerinti mértékben – biztosítani kell. Az Egyetemi Hallgatói Önkormányzat Küldöttgyűlése 2021. január 21. napi határozatainak megfelelően meg kell tartani a hallgatók önkormányzati testületeinek (különösen az Egyetemi Hallgatói Önkormányzatnak, valamint a Doktorandusz Önkormányzatnak) részvételi jogait az Egyetem irányításában, és a hallgatói önkormányzat működési feltételeit az alábbiakra figyelemmel biztosítani kell.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1.</w:t>
      </w:r>
      <w:r w:rsidRPr="00361132">
        <w:rPr>
          <w:rFonts w:ascii="Arial" w:hAnsi="Arial" w:cs="Arial"/>
        </w:rPr>
        <w:t xml:space="preserve"> A hallgatói önkormányzat szervezeti és működési szabályzatban rögzített feladatainak ellátásához a tárgyi és pénzügyi feltételeket, a gazdálkodáshoz szükséges jogokat biztosítani kell.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  <w:b/>
        </w:rPr>
        <w:t>2.</w:t>
      </w:r>
      <w:r w:rsidRPr="00361132">
        <w:rPr>
          <w:rFonts w:ascii="Arial" w:hAnsi="Arial" w:cs="Arial"/>
        </w:rPr>
        <w:t xml:space="preserve"> A hallgatókat érintő egyetemi döntésekkel kapcsolatosan biztosítani kell a hallgatói önkormányzat számára az Egyetem szabályzataiban ez idő szerint rögzített véleményezési és egyetértési jogokat.</w:t>
      </w:r>
    </w:p>
    <w:p w:rsidR="00405EB3" w:rsidRPr="00361132" w:rsidRDefault="00405EB3" w:rsidP="00361132">
      <w:pPr>
        <w:jc w:val="both"/>
        <w:rPr>
          <w:rFonts w:ascii="Arial" w:hAnsi="Arial" w:cs="Arial"/>
          <w:b/>
          <w:i/>
        </w:rPr>
      </w:pPr>
      <w:r w:rsidRPr="00361132">
        <w:rPr>
          <w:rFonts w:ascii="Arial" w:hAnsi="Arial" w:cs="Arial"/>
          <w:b/>
        </w:rPr>
        <w:t>3.</w:t>
      </w:r>
      <w:r w:rsidRPr="00361132">
        <w:rPr>
          <w:rFonts w:ascii="Arial" w:hAnsi="Arial" w:cs="Arial"/>
        </w:rPr>
        <w:t xml:space="preserve"> A hallgatói önkormányzat - az ez idő szerint az Egyetem szabályzataiban meghatározott feltételek mellett - a Szenátus és a hallgatói ügyekben hatáskörrel rendelkező egyetemi és kari testületekbe képviselőt delegál az </w:t>
      </w:r>
      <w:proofErr w:type="spellStart"/>
      <w:r w:rsidRPr="00361132">
        <w:rPr>
          <w:rFonts w:ascii="Arial" w:hAnsi="Arial" w:cs="Arial"/>
        </w:rPr>
        <w:t>Nftv</w:t>
      </w:r>
      <w:proofErr w:type="spellEnd"/>
      <w:r w:rsidRPr="00361132">
        <w:rPr>
          <w:rFonts w:ascii="Arial" w:hAnsi="Arial" w:cs="Arial"/>
        </w:rPr>
        <w:t xml:space="preserve">. 12. § (7) bekezdés b) pontjában meghatározott arányban.  </w:t>
      </w:r>
    </w:p>
    <w:p w:rsidR="00405EB3" w:rsidRPr="00361132" w:rsidRDefault="00405EB3" w:rsidP="00361132">
      <w:pPr>
        <w:jc w:val="both"/>
        <w:rPr>
          <w:rFonts w:ascii="Arial" w:hAnsi="Arial" w:cs="Arial"/>
          <w:b/>
          <w:i/>
        </w:rPr>
      </w:pPr>
    </w:p>
    <w:p w:rsidR="007008F8" w:rsidRPr="00361132" w:rsidRDefault="007008F8" w:rsidP="00361132">
      <w:pPr>
        <w:jc w:val="both"/>
        <w:rPr>
          <w:rFonts w:ascii="Arial" w:hAnsi="Arial" w:cs="Arial"/>
          <w:b/>
          <w:i/>
        </w:rPr>
      </w:pPr>
    </w:p>
    <w:p w:rsidR="00405EB3" w:rsidRPr="00361132" w:rsidRDefault="00405EB3" w:rsidP="00361132">
      <w:pPr>
        <w:jc w:val="both"/>
        <w:rPr>
          <w:rFonts w:ascii="Arial" w:hAnsi="Arial" w:cs="Arial"/>
          <w:b/>
          <w:i/>
          <w:u w:val="single"/>
        </w:rPr>
      </w:pPr>
      <w:r w:rsidRPr="00361132">
        <w:rPr>
          <w:rFonts w:ascii="Arial" w:hAnsi="Arial" w:cs="Arial"/>
          <w:b/>
          <w:i/>
          <w:u w:val="single"/>
        </w:rPr>
        <w:t>II. határozati javaslat:</w:t>
      </w:r>
    </w:p>
    <w:p w:rsidR="007008F8" w:rsidRPr="00361132" w:rsidRDefault="007008F8" w:rsidP="00361132">
      <w:pPr>
        <w:jc w:val="both"/>
        <w:rPr>
          <w:rFonts w:ascii="Arial" w:hAnsi="Arial" w:cs="Arial"/>
          <w:b/>
          <w:i/>
          <w:u w:val="single"/>
        </w:rPr>
      </w:pPr>
    </w:p>
    <w:p w:rsidR="00361132" w:rsidRDefault="00405EB3" w:rsidP="00361132">
      <w:pPr>
        <w:jc w:val="both"/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</w:pPr>
      <w:r w:rsidRPr="00361132">
        <w:rPr>
          <w:rFonts w:ascii="Arial" w:hAnsi="Arial" w:cs="Arial"/>
        </w:rPr>
        <w:t xml:space="preserve">A Pécsi Tudományegyetem Szenátusa támogatja, hogy a rektor és a kancellár kezdeményezze a fenntartónál a Pécsi Tudományegyetem állami fenntartású felsőoktatási intézményből a felsőoktatási modellváltás során </w:t>
      </w:r>
      <w:r w:rsidRPr="00361132"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  <w:t xml:space="preserve">közfeladatot ellátó </w:t>
      </w:r>
    </w:p>
    <w:p w:rsidR="00361132" w:rsidRDefault="00361132" w:rsidP="00361132">
      <w:pPr>
        <w:jc w:val="both"/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</w:pPr>
    </w:p>
    <w:p w:rsidR="00361132" w:rsidRDefault="00361132" w:rsidP="00361132">
      <w:pPr>
        <w:jc w:val="both"/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</w:pPr>
    </w:p>
    <w:p w:rsidR="00405EB3" w:rsidRPr="00361132" w:rsidRDefault="00405EB3" w:rsidP="00361132">
      <w:pPr>
        <w:jc w:val="both"/>
        <w:rPr>
          <w:rFonts w:ascii="Arial" w:hAnsi="Arial" w:cs="Arial"/>
        </w:rPr>
      </w:pPr>
      <w:proofErr w:type="gramStart"/>
      <w:r w:rsidRPr="00361132"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  <w:t>közérdekű</w:t>
      </w:r>
      <w:proofErr w:type="gramEnd"/>
      <w:r w:rsidRPr="00361132">
        <w:rPr>
          <w:rStyle w:val="Kiemels"/>
          <w:rFonts w:ascii="Arial" w:hAnsi="Arial" w:cs="Arial"/>
          <w:bdr w:val="none" w:sz="0" w:space="0" w:color="auto" w:frame="1"/>
          <w:shd w:val="clear" w:color="auto" w:fill="FFFFFF"/>
        </w:rPr>
        <w:t xml:space="preserve"> vagyonkezelő alapítványi </w:t>
      </w:r>
      <w:r w:rsidRPr="00361132">
        <w:rPr>
          <w:rFonts w:ascii="Arial" w:hAnsi="Arial" w:cs="Arial"/>
        </w:rPr>
        <w:t>fenntartású felsőoktatási intézménnyé alakítását, annak érdekében, hogy az Egyetem forrásait bővítse és megvalósítsa az Intézményfejlesztési Terv célkitűzéseit.</w:t>
      </w:r>
    </w:p>
    <w:p w:rsidR="00405EB3" w:rsidRPr="00361132" w:rsidRDefault="00405EB3" w:rsidP="00361132">
      <w:pPr>
        <w:jc w:val="both"/>
        <w:rPr>
          <w:rFonts w:ascii="Arial" w:hAnsi="Arial" w:cs="Arial"/>
        </w:rPr>
      </w:pPr>
    </w:p>
    <w:p w:rsidR="00405EB3" w:rsidRDefault="00405EB3" w:rsidP="00361132">
      <w:pPr>
        <w:jc w:val="both"/>
        <w:rPr>
          <w:rFonts w:ascii="Arial" w:hAnsi="Arial" w:cs="Arial"/>
        </w:rPr>
      </w:pPr>
      <w:r w:rsidRPr="00361132">
        <w:rPr>
          <w:rFonts w:ascii="Arial" w:hAnsi="Arial" w:cs="Arial"/>
        </w:rPr>
        <w:t>Az átalakulás során biztosítani kell, hogy a Klinikai Központ az orvos- és egészségtudományi képzésben, kutatásban és a betegellátásban betöltött szerepének megőrzése érdekében a Pécsi Tudományegyetem, mint modellváltó egyetem integráns része maradjon, ellátva országos és regionális szerepét az egészségügyi szolgáltatási rendszerben, illetve annak központi közigazgatási szervek által szervezett kapacitásgazdálkodásában.</w:t>
      </w:r>
    </w:p>
    <w:p w:rsidR="00405EB3" w:rsidRPr="00361132" w:rsidRDefault="00405EB3" w:rsidP="00405EB3">
      <w:pPr>
        <w:rPr>
          <w:rFonts w:ascii="Arial" w:hAnsi="Arial" w:cs="Arial"/>
          <w:b/>
        </w:rPr>
      </w:pPr>
    </w:p>
    <w:p w:rsidR="007008F8" w:rsidRPr="00361132" w:rsidRDefault="007008F8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A szenátusi ülést megelőzőe</w:t>
      </w:r>
      <w:r w:rsidR="00CF4733" w:rsidRPr="00361132">
        <w:rPr>
          <w:rFonts w:ascii="Arial" w:hAnsi="Arial" w:cs="Arial"/>
          <w:b/>
        </w:rPr>
        <w:t xml:space="preserve">n 2021. január 20. és </w:t>
      </w:r>
      <w:proofErr w:type="gramStart"/>
      <w:r w:rsidR="00CF4733" w:rsidRPr="00361132">
        <w:rPr>
          <w:rFonts w:ascii="Arial" w:hAnsi="Arial" w:cs="Arial"/>
          <w:b/>
        </w:rPr>
        <w:t>28-án</w:t>
      </w:r>
      <w:proofErr w:type="gramEnd"/>
      <w:r w:rsidR="00CF4733" w:rsidRPr="00361132">
        <w:rPr>
          <w:rFonts w:ascii="Arial" w:hAnsi="Arial" w:cs="Arial"/>
          <w:b/>
        </w:rPr>
        <w:t xml:space="preserve"> az e</w:t>
      </w:r>
      <w:r w:rsidRPr="00361132">
        <w:rPr>
          <w:rFonts w:ascii="Arial" w:hAnsi="Arial" w:cs="Arial"/>
          <w:b/>
        </w:rPr>
        <w:t xml:space="preserve">gyetemen érdekelt Szakszervezetek és a Közalkalmazotti Tanács képviselőivel (FDSZ, EDDSZ, MOSZ, OSZSZ) </w:t>
      </w:r>
      <w:r w:rsidR="00CF4733" w:rsidRPr="00361132">
        <w:rPr>
          <w:rFonts w:ascii="Arial" w:hAnsi="Arial" w:cs="Arial"/>
          <w:b/>
        </w:rPr>
        <w:t>az egyetem vezetése egyeztetést folytatott (Rektor, Kancellár, Jogi szakértő)</w:t>
      </w:r>
      <w:r w:rsidR="00944DF4" w:rsidRPr="00361132">
        <w:rPr>
          <w:rFonts w:ascii="Arial" w:hAnsi="Arial" w:cs="Arial"/>
          <w:b/>
        </w:rPr>
        <w:t>.</w:t>
      </w:r>
    </w:p>
    <w:p w:rsidR="00CF4733" w:rsidRPr="00361132" w:rsidRDefault="00CF4733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Az egyeztetésen tájékoztatást kaptunk a PTE modellváltásával kapcsolatos kérdésekről.</w:t>
      </w:r>
    </w:p>
    <w:p w:rsidR="00361132" w:rsidRDefault="00944DF4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A tájékoztatóban Rektor Úr felvázolta a lehetőségeket, a lehetséges előnyöket, </w:t>
      </w:r>
      <w:r w:rsidR="00AC3193">
        <w:rPr>
          <w:rFonts w:ascii="Arial" w:hAnsi="Arial" w:cs="Arial"/>
          <w:b/>
        </w:rPr>
        <w:t xml:space="preserve">és esetleges </w:t>
      </w:r>
      <w:r w:rsidRPr="00361132">
        <w:rPr>
          <w:rFonts w:ascii="Arial" w:hAnsi="Arial" w:cs="Arial"/>
          <w:b/>
        </w:rPr>
        <w:t xml:space="preserve">hátrányokat. </w:t>
      </w:r>
    </w:p>
    <w:p w:rsidR="00944DF4" w:rsidRDefault="00944DF4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A Minisztériummal folytatott </w:t>
      </w:r>
      <w:r w:rsidR="00361132">
        <w:rPr>
          <w:rFonts w:ascii="Arial" w:hAnsi="Arial" w:cs="Arial"/>
          <w:b/>
        </w:rPr>
        <w:t xml:space="preserve">előzetes </w:t>
      </w:r>
      <w:r w:rsidRPr="00361132">
        <w:rPr>
          <w:rFonts w:ascii="Arial" w:hAnsi="Arial" w:cs="Arial"/>
          <w:b/>
        </w:rPr>
        <w:t>tárgyalásokon az egyetem vezetése igyekezett elérni a legelőnyösebb felté</w:t>
      </w:r>
      <w:r w:rsidR="0058355E" w:rsidRPr="00361132">
        <w:rPr>
          <w:rFonts w:ascii="Arial" w:hAnsi="Arial" w:cs="Arial"/>
          <w:b/>
        </w:rPr>
        <w:t>te</w:t>
      </w:r>
      <w:r w:rsidRPr="00361132">
        <w:rPr>
          <w:rFonts w:ascii="Arial" w:hAnsi="Arial" w:cs="Arial"/>
          <w:b/>
        </w:rPr>
        <w:t xml:space="preserve">leket a váltással kapcsolatosan. </w:t>
      </w:r>
    </w:p>
    <w:p w:rsidR="00361132" w:rsidRPr="00361132" w:rsidRDefault="00361132" w:rsidP="00361132">
      <w:pPr>
        <w:jc w:val="both"/>
        <w:rPr>
          <w:rFonts w:ascii="Arial" w:hAnsi="Arial" w:cs="Arial"/>
          <w:b/>
        </w:rPr>
      </w:pPr>
    </w:p>
    <w:p w:rsidR="00944DF4" w:rsidRDefault="00944DF4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Szakszervezeteink álláspontja szerint a rendelkezésre álló idő érdemi egyeztetésre nem alkalmas, különös tekintettel az átalakulás tisztázatlan következményeire.</w:t>
      </w:r>
    </w:p>
    <w:p w:rsidR="00361132" w:rsidRPr="00361132" w:rsidRDefault="00361132" w:rsidP="00361132">
      <w:pPr>
        <w:jc w:val="both"/>
        <w:rPr>
          <w:rFonts w:ascii="Arial" w:hAnsi="Arial" w:cs="Arial"/>
          <w:b/>
        </w:rPr>
      </w:pPr>
    </w:p>
    <w:p w:rsidR="00944DF4" w:rsidRDefault="00944DF4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Felvetettük többek között a Kollektív Szerződés, a munkaügyi kapcsolatok rendszerének, a szerzett jogok, szociális juttatások</w:t>
      </w:r>
      <w:r w:rsidR="0058355E" w:rsidRPr="00361132">
        <w:rPr>
          <w:rFonts w:ascii="Arial" w:hAnsi="Arial" w:cs="Arial"/>
          <w:b/>
        </w:rPr>
        <w:t xml:space="preserve">, illetmények, pótlékok, </w:t>
      </w:r>
      <w:proofErr w:type="spellStart"/>
      <w:r w:rsidR="007E283E">
        <w:rPr>
          <w:rFonts w:ascii="Arial" w:hAnsi="Arial" w:cs="Arial"/>
          <w:b/>
        </w:rPr>
        <w:t>Eszjt</w:t>
      </w:r>
      <w:r w:rsidR="00003A69">
        <w:rPr>
          <w:rFonts w:ascii="Arial" w:hAnsi="Arial" w:cs="Arial"/>
          <w:b/>
        </w:rPr>
        <w:t>v</w:t>
      </w:r>
      <w:proofErr w:type="spellEnd"/>
      <w:proofErr w:type="gramStart"/>
      <w:r w:rsidR="00003A69">
        <w:rPr>
          <w:rFonts w:ascii="Arial" w:hAnsi="Arial" w:cs="Arial"/>
          <w:b/>
        </w:rPr>
        <w:t>.</w:t>
      </w:r>
      <w:r w:rsidR="007E283E">
        <w:rPr>
          <w:rFonts w:ascii="Arial" w:hAnsi="Arial" w:cs="Arial"/>
          <w:b/>
        </w:rPr>
        <w:t>,</w:t>
      </w:r>
      <w:proofErr w:type="gramEnd"/>
      <w:r w:rsidR="007E283E">
        <w:rPr>
          <w:rFonts w:ascii="Arial" w:hAnsi="Arial" w:cs="Arial"/>
          <w:b/>
        </w:rPr>
        <w:t xml:space="preserve"> </w:t>
      </w:r>
      <w:r w:rsidR="0058355E" w:rsidRPr="00361132">
        <w:rPr>
          <w:rFonts w:ascii="Arial" w:hAnsi="Arial" w:cs="Arial"/>
          <w:b/>
        </w:rPr>
        <w:t>Közalkalmazott Tanács megszűnésének kér</w:t>
      </w:r>
      <w:r w:rsidR="007E283E">
        <w:rPr>
          <w:rFonts w:ascii="Arial" w:hAnsi="Arial" w:cs="Arial"/>
          <w:b/>
        </w:rPr>
        <w:t>déseit.</w:t>
      </w:r>
    </w:p>
    <w:p w:rsidR="00361132" w:rsidRPr="00361132" w:rsidRDefault="00361132" w:rsidP="00361132">
      <w:pPr>
        <w:jc w:val="both"/>
        <w:rPr>
          <w:rFonts w:ascii="Arial" w:hAnsi="Arial" w:cs="Arial"/>
          <w:b/>
        </w:rPr>
      </w:pPr>
    </w:p>
    <w:p w:rsidR="00361132" w:rsidRDefault="008F4BE2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Rektor Úr fentiekre kifejezte azon szándékát, hogy az egyetem vezetése mindent elkövet annak érdekében, hogy a munkavállalók semmilyen tekintetben ne szenvedjenek hátrányt. </w:t>
      </w:r>
    </w:p>
    <w:p w:rsidR="004D0F93" w:rsidRDefault="008F4BE2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Az egyetem döntéshozó t</w:t>
      </w:r>
      <w:r w:rsidR="002F26CF" w:rsidRPr="00361132">
        <w:rPr>
          <w:rFonts w:ascii="Arial" w:hAnsi="Arial" w:cs="Arial"/>
          <w:b/>
        </w:rPr>
        <w:t>estületeinek hatásköre</w:t>
      </w:r>
      <w:r w:rsidR="00361132">
        <w:rPr>
          <w:rFonts w:ascii="Arial" w:hAnsi="Arial" w:cs="Arial"/>
          <w:b/>
        </w:rPr>
        <w:t>i</w:t>
      </w:r>
      <w:r w:rsidR="002F26CF" w:rsidRPr="00361132">
        <w:rPr>
          <w:rFonts w:ascii="Arial" w:hAnsi="Arial" w:cs="Arial"/>
          <w:b/>
        </w:rPr>
        <w:t xml:space="preserve"> ne csorbu</w:t>
      </w:r>
      <w:r w:rsidR="00361132">
        <w:rPr>
          <w:rFonts w:ascii="Arial" w:hAnsi="Arial" w:cs="Arial"/>
          <w:b/>
        </w:rPr>
        <w:t>ljanak</w:t>
      </w:r>
      <w:r w:rsidRPr="00361132">
        <w:rPr>
          <w:rFonts w:ascii="Arial" w:hAnsi="Arial" w:cs="Arial"/>
          <w:b/>
        </w:rPr>
        <w:t>.</w:t>
      </w:r>
    </w:p>
    <w:p w:rsidR="00361132" w:rsidRPr="00361132" w:rsidRDefault="00361132" w:rsidP="00361132">
      <w:pPr>
        <w:jc w:val="both"/>
        <w:rPr>
          <w:rFonts w:ascii="Arial" w:hAnsi="Arial" w:cs="Arial"/>
          <w:b/>
        </w:rPr>
      </w:pPr>
    </w:p>
    <w:p w:rsidR="002F26CF" w:rsidRDefault="002F26CF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 xml:space="preserve">Szakszervezeteink egységesen kijelentették, hogy fentiek alapján </w:t>
      </w:r>
      <w:r w:rsidR="00361132">
        <w:rPr>
          <w:rFonts w:ascii="Arial" w:hAnsi="Arial" w:cs="Arial"/>
          <w:b/>
        </w:rPr>
        <w:t xml:space="preserve">és </w:t>
      </w:r>
      <w:r w:rsidRPr="00361132">
        <w:rPr>
          <w:rFonts w:ascii="Arial" w:hAnsi="Arial" w:cs="Arial"/>
          <w:b/>
        </w:rPr>
        <w:t xml:space="preserve">a jelenlegi hiányos információk </w:t>
      </w:r>
      <w:r w:rsidR="00361132">
        <w:rPr>
          <w:rFonts w:ascii="Arial" w:hAnsi="Arial" w:cs="Arial"/>
          <w:b/>
        </w:rPr>
        <w:t xml:space="preserve">miatt, </w:t>
      </w:r>
      <w:r w:rsidRPr="00361132">
        <w:rPr>
          <w:rFonts w:ascii="Arial" w:hAnsi="Arial" w:cs="Arial"/>
          <w:b/>
        </w:rPr>
        <w:t xml:space="preserve">nem tudják támogatni a szenátusban a modellváltással kapcsolatban a szenátusi határozatokat. </w:t>
      </w:r>
    </w:p>
    <w:p w:rsidR="00361132" w:rsidRPr="00361132" w:rsidRDefault="00361132" w:rsidP="00361132">
      <w:pPr>
        <w:jc w:val="both"/>
        <w:rPr>
          <w:rFonts w:ascii="Arial" w:hAnsi="Arial" w:cs="Arial"/>
          <w:b/>
        </w:rPr>
      </w:pPr>
    </w:p>
    <w:p w:rsidR="002F26CF" w:rsidRDefault="002F26CF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Képviselőink</w:t>
      </w:r>
      <w:r w:rsidR="00EA2E60">
        <w:rPr>
          <w:rFonts w:ascii="Arial" w:hAnsi="Arial" w:cs="Arial"/>
          <w:b/>
        </w:rPr>
        <w:t>,</w:t>
      </w:r>
      <w:r w:rsidRPr="00361132">
        <w:rPr>
          <w:rFonts w:ascii="Arial" w:hAnsi="Arial" w:cs="Arial"/>
          <w:b/>
        </w:rPr>
        <w:t xml:space="preserve"> a szakszervezetek álláspontját </w:t>
      </w:r>
      <w:r w:rsidR="000E390C">
        <w:rPr>
          <w:rFonts w:ascii="Arial" w:hAnsi="Arial" w:cs="Arial"/>
          <w:b/>
        </w:rPr>
        <w:t xml:space="preserve">betartva, és </w:t>
      </w:r>
      <w:r w:rsidR="00361132">
        <w:rPr>
          <w:rFonts w:ascii="Arial" w:hAnsi="Arial" w:cs="Arial"/>
          <w:b/>
        </w:rPr>
        <w:t xml:space="preserve">hozzászólásukkal is </w:t>
      </w:r>
      <w:r w:rsidRPr="00361132">
        <w:rPr>
          <w:rFonts w:ascii="Arial" w:hAnsi="Arial" w:cs="Arial"/>
          <w:b/>
        </w:rPr>
        <w:t>támogatva</w:t>
      </w:r>
      <w:r w:rsidR="00361132">
        <w:rPr>
          <w:rFonts w:ascii="Arial" w:hAnsi="Arial" w:cs="Arial"/>
          <w:b/>
        </w:rPr>
        <w:t>,</w:t>
      </w:r>
      <w:r w:rsidRPr="00361132">
        <w:rPr>
          <w:rFonts w:ascii="Arial" w:hAnsi="Arial" w:cs="Arial"/>
          <w:b/>
        </w:rPr>
        <w:t xml:space="preserve"> nem szavazták meg a szenátusi határozatokat.</w:t>
      </w:r>
    </w:p>
    <w:p w:rsidR="000E390C" w:rsidRPr="00361132" w:rsidRDefault="000E390C" w:rsidP="00361132">
      <w:pPr>
        <w:jc w:val="both"/>
        <w:rPr>
          <w:rFonts w:ascii="Arial" w:hAnsi="Arial" w:cs="Arial"/>
          <w:b/>
        </w:rPr>
      </w:pPr>
    </w:p>
    <w:p w:rsidR="00162288" w:rsidRDefault="00162288" w:rsidP="00361132">
      <w:pPr>
        <w:jc w:val="both"/>
        <w:rPr>
          <w:rFonts w:ascii="Arial" w:hAnsi="Arial" w:cs="Arial"/>
          <w:b/>
        </w:rPr>
      </w:pPr>
      <w:r w:rsidRPr="00361132">
        <w:rPr>
          <w:rFonts w:ascii="Arial" w:hAnsi="Arial" w:cs="Arial"/>
          <w:b/>
        </w:rPr>
        <w:t>Jelenlegi helyzetünkben a későbbi alapítvánnyal történő tárgyalási pozíciónkat jelentősen meg kell erősíteni tagságunk számának növelésével, mert várhatóan csak így tudunk jelentős eredményeket elérni.</w:t>
      </w:r>
    </w:p>
    <w:p w:rsidR="00553597" w:rsidRDefault="00553597" w:rsidP="00361132">
      <w:pPr>
        <w:jc w:val="both"/>
        <w:rPr>
          <w:rFonts w:ascii="Arial" w:hAnsi="Arial" w:cs="Arial"/>
          <w:b/>
        </w:rPr>
      </w:pPr>
    </w:p>
    <w:p w:rsidR="00553597" w:rsidRPr="00361132" w:rsidRDefault="00553597" w:rsidP="003611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Tisztelettel: Illés József</w:t>
      </w:r>
    </w:p>
    <w:sectPr w:rsidR="00553597" w:rsidRPr="00361132" w:rsidSect="005F3C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D3" w:rsidRDefault="004423D3">
      <w:r>
        <w:separator/>
      </w:r>
    </w:p>
  </w:endnote>
  <w:endnote w:type="continuationSeparator" w:id="0">
    <w:p w:rsidR="004423D3" w:rsidRDefault="004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D3" w:rsidRDefault="004423D3">
      <w:r>
        <w:separator/>
      </w:r>
    </w:p>
  </w:footnote>
  <w:footnote w:type="continuationSeparator" w:id="0">
    <w:p w:rsidR="004423D3" w:rsidRDefault="0044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DD" w:rsidRPr="00271F8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32"/>
        <w:szCs w:val="32"/>
      </w:rPr>
    </w:pPr>
    <w:r>
      <w:rPr>
        <w:rFonts w:ascii="Monotype Corsiva" w:hAnsi="Monotype Corsiva"/>
        <w:b/>
        <w:i/>
        <w:color w:val="3366FF"/>
        <w:sz w:val="32"/>
        <w:szCs w:val="32"/>
      </w:rPr>
      <w:t>PTE Integrált Egészségügyi Szakszervezet</w:t>
    </w:r>
  </w:p>
  <w:p w:rsidR="00B86084" w:rsidRPr="00577DD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28"/>
        <w:szCs w:val="28"/>
      </w:rPr>
    </w:pPr>
    <w:r w:rsidRPr="00271F8D">
      <w:rPr>
        <w:rFonts w:ascii="Monotype Corsiva" w:hAnsi="Monotype Corsiva"/>
        <w:b/>
        <w:i/>
        <w:color w:val="3366FF"/>
        <w:sz w:val="28"/>
        <w:szCs w:val="28"/>
      </w:rPr>
      <w:t>ÁOK ETK KK Szakszervezeti Bizottsága</w:t>
    </w:r>
    <w:r>
      <w:rPr>
        <w:rFonts w:ascii="Monotype Corsiva" w:hAnsi="Monotype Corsiva"/>
        <w:b/>
        <w:i/>
        <w:color w:val="3366FF"/>
        <w:sz w:val="28"/>
        <w:szCs w:val="28"/>
      </w:rPr>
      <w:t xml:space="preserve"> </w:t>
    </w:r>
    <w:r w:rsidRPr="00271F8D">
      <w:rPr>
        <w:rFonts w:ascii="Garamond" w:hAnsi="Garamond"/>
        <w:b/>
        <w:i/>
        <w:color w:val="3366FF"/>
        <w:sz w:val="28"/>
        <w:szCs w:val="28"/>
      </w:rPr>
      <w:t>Pécs, Szigeti út 12. Telefon: 72-536-228, e-mail: szakszervezeti.bizottsag@aok.pte.hu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672"/>
    <w:multiLevelType w:val="hybridMultilevel"/>
    <w:tmpl w:val="B02AAFE0"/>
    <w:lvl w:ilvl="0" w:tplc="040E0009">
      <w:start w:val="1"/>
      <w:numFmt w:val="bullet"/>
      <w:lvlText w:val=""/>
      <w:lvlJc w:val="left"/>
      <w:pPr>
        <w:tabs>
          <w:tab w:val="num" w:pos="2874"/>
        </w:tabs>
        <w:ind w:left="2874" w:hanging="375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579"/>
        </w:tabs>
        <w:ind w:left="35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299"/>
        </w:tabs>
        <w:ind w:left="42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19"/>
        </w:tabs>
        <w:ind w:left="50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39"/>
        </w:tabs>
        <w:ind w:left="57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59"/>
        </w:tabs>
        <w:ind w:left="64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179"/>
        </w:tabs>
        <w:ind w:left="71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899"/>
        </w:tabs>
        <w:ind w:left="78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19"/>
        </w:tabs>
        <w:ind w:left="8619" w:hanging="180"/>
      </w:pPr>
    </w:lvl>
  </w:abstractNum>
  <w:abstractNum w:abstractNumId="1">
    <w:nsid w:val="3EB7282E"/>
    <w:multiLevelType w:val="hybridMultilevel"/>
    <w:tmpl w:val="69BA7F16"/>
    <w:lvl w:ilvl="0" w:tplc="7D30FCB6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46B2F"/>
    <w:multiLevelType w:val="hybridMultilevel"/>
    <w:tmpl w:val="E040B602"/>
    <w:lvl w:ilvl="0" w:tplc="AF467C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01B5"/>
    <w:multiLevelType w:val="hybridMultilevel"/>
    <w:tmpl w:val="E9A894B4"/>
    <w:lvl w:ilvl="0" w:tplc="24A29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52861"/>
    <w:multiLevelType w:val="hybridMultilevel"/>
    <w:tmpl w:val="32F8A03E"/>
    <w:lvl w:ilvl="0" w:tplc="27A4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628F"/>
    <w:multiLevelType w:val="hybridMultilevel"/>
    <w:tmpl w:val="C70E13AC"/>
    <w:lvl w:ilvl="0" w:tplc="0BE0F4D4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897805"/>
    <w:multiLevelType w:val="hybridMultilevel"/>
    <w:tmpl w:val="C7B4ECCE"/>
    <w:lvl w:ilvl="0" w:tplc="FB685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7028C"/>
    <w:multiLevelType w:val="multilevel"/>
    <w:tmpl w:val="BCD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9037B"/>
    <w:multiLevelType w:val="hybridMultilevel"/>
    <w:tmpl w:val="5EE4EFA8"/>
    <w:lvl w:ilvl="0" w:tplc="2C5AE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9"/>
    <w:rsid w:val="00002C2F"/>
    <w:rsid w:val="00003A69"/>
    <w:rsid w:val="000353B4"/>
    <w:rsid w:val="000365EE"/>
    <w:rsid w:val="00061A1A"/>
    <w:rsid w:val="000B4341"/>
    <w:rsid w:val="000E320D"/>
    <w:rsid w:val="000E390C"/>
    <w:rsid w:val="00104D56"/>
    <w:rsid w:val="0012199D"/>
    <w:rsid w:val="00125B4A"/>
    <w:rsid w:val="00162288"/>
    <w:rsid w:val="00170E60"/>
    <w:rsid w:val="00175DF5"/>
    <w:rsid w:val="001C2E1E"/>
    <w:rsid w:val="001E0BD7"/>
    <w:rsid w:val="00206B72"/>
    <w:rsid w:val="00232BA4"/>
    <w:rsid w:val="0024354D"/>
    <w:rsid w:val="00256D72"/>
    <w:rsid w:val="0026331E"/>
    <w:rsid w:val="002717AD"/>
    <w:rsid w:val="00271F8D"/>
    <w:rsid w:val="002C4E1A"/>
    <w:rsid w:val="002D3A94"/>
    <w:rsid w:val="002F26CF"/>
    <w:rsid w:val="002F6799"/>
    <w:rsid w:val="00326953"/>
    <w:rsid w:val="00337AA7"/>
    <w:rsid w:val="003421BF"/>
    <w:rsid w:val="00350565"/>
    <w:rsid w:val="00352234"/>
    <w:rsid w:val="00361132"/>
    <w:rsid w:val="0036292A"/>
    <w:rsid w:val="00373013"/>
    <w:rsid w:val="003A2B8E"/>
    <w:rsid w:val="003A3FB4"/>
    <w:rsid w:val="003E15B7"/>
    <w:rsid w:val="003E4671"/>
    <w:rsid w:val="00405EB3"/>
    <w:rsid w:val="00424706"/>
    <w:rsid w:val="004254C7"/>
    <w:rsid w:val="004423D3"/>
    <w:rsid w:val="004546C0"/>
    <w:rsid w:val="00455517"/>
    <w:rsid w:val="0048316A"/>
    <w:rsid w:val="00484DE6"/>
    <w:rsid w:val="0049569B"/>
    <w:rsid w:val="00497CAD"/>
    <w:rsid w:val="00497EDA"/>
    <w:rsid w:val="004D0F93"/>
    <w:rsid w:val="004F4478"/>
    <w:rsid w:val="00527ED6"/>
    <w:rsid w:val="00553597"/>
    <w:rsid w:val="005735FF"/>
    <w:rsid w:val="00577DDD"/>
    <w:rsid w:val="0058355E"/>
    <w:rsid w:val="00583A57"/>
    <w:rsid w:val="005C3BB5"/>
    <w:rsid w:val="005F3C27"/>
    <w:rsid w:val="006029F7"/>
    <w:rsid w:val="0060444D"/>
    <w:rsid w:val="006375D5"/>
    <w:rsid w:val="00671009"/>
    <w:rsid w:val="006A5BF0"/>
    <w:rsid w:val="006C241A"/>
    <w:rsid w:val="006E2D3A"/>
    <w:rsid w:val="006F7FA9"/>
    <w:rsid w:val="007008F8"/>
    <w:rsid w:val="00727F99"/>
    <w:rsid w:val="00732E93"/>
    <w:rsid w:val="00766F3B"/>
    <w:rsid w:val="007A7277"/>
    <w:rsid w:val="007E283E"/>
    <w:rsid w:val="007E297A"/>
    <w:rsid w:val="00800BC1"/>
    <w:rsid w:val="00812712"/>
    <w:rsid w:val="00830269"/>
    <w:rsid w:val="0083178F"/>
    <w:rsid w:val="00857A0E"/>
    <w:rsid w:val="008672FE"/>
    <w:rsid w:val="0087072A"/>
    <w:rsid w:val="00873192"/>
    <w:rsid w:val="008B4421"/>
    <w:rsid w:val="008F4BE2"/>
    <w:rsid w:val="009006A7"/>
    <w:rsid w:val="00944DF4"/>
    <w:rsid w:val="009613C1"/>
    <w:rsid w:val="00966A3E"/>
    <w:rsid w:val="00987848"/>
    <w:rsid w:val="00991F47"/>
    <w:rsid w:val="009C1F0A"/>
    <w:rsid w:val="009E30E1"/>
    <w:rsid w:val="009F3425"/>
    <w:rsid w:val="00A0282F"/>
    <w:rsid w:val="00A07F34"/>
    <w:rsid w:val="00A36794"/>
    <w:rsid w:val="00A42256"/>
    <w:rsid w:val="00A45BCA"/>
    <w:rsid w:val="00A62AFB"/>
    <w:rsid w:val="00A94DC4"/>
    <w:rsid w:val="00AA3A57"/>
    <w:rsid w:val="00AC3193"/>
    <w:rsid w:val="00AC32CB"/>
    <w:rsid w:val="00AE6246"/>
    <w:rsid w:val="00AF1191"/>
    <w:rsid w:val="00B256FA"/>
    <w:rsid w:val="00B3163B"/>
    <w:rsid w:val="00B43FAA"/>
    <w:rsid w:val="00B53635"/>
    <w:rsid w:val="00B64A78"/>
    <w:rsid w:val="00B66957"/>
    <w:rsid w:val="00B86084"/>
    <w:rsid w:val="00BC2CB8"/>
    <w:rsid w:val="00BF6497"/>
    <w:rsid w:val="00BF7147"/>
    <w:rsid w:val="00C21A10"/>
    <w:rsid w:val="00C6726D"/>
    <w:rsid w:val="00C7550D"/>
    <w:rsid w:val="00CD6278"/>
    <w:rsid w:val="00CD6C6F"/>
    <w:rsid w:val="00CE7F60"/>
    <w:rsid w:val="00CF29E0"/>
    <w:rsid w:val="00CF4733"/>
    <w:rsid w:val="00D125BC"/>
    <w:rsid w:val="00D25B0C"/>
    <w:rsid w:val="00D71FC5"/>
    <w:rsid w:val="00D77CB5"/>
    <w:rsid w:val="00DF7542"/>
    <w:rsid w:val="00E06BBD"/>
    <w:rsid w:val="00E070DD"/>
    <w:rsid w:val="00E27267"/>
    <w:rsid w:val="00E36D5C"/>
    <w:rsid w:val="00E62332"/>
    <w:rsid w:val="00E71C4A"/>
    <w:rsid w:val="00E84B3C"/>
    <w:rsid w:val="00EA031A"/>
    <w:rsid w:val="00EA050D"/>
    <w:rsid w:val="00EA2E60"/>
    <w:rsid w:val="00EB08CE"/>
    <w:rsid w:val="00ED16FA"/>
    <w:rsid w:val="00F00F60"/>
    <w:rsid w:val="00F36345"/>
    <w:rsid w:val="00FC14FA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05ADB7-1930-4E9F-8E95-BF12F96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F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F3C2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F3C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F3C27"/>
  </w:style>
  <w:style w:type="paragraph" w:styleId="Listaszerbekezds">
    <w:name w:val="List Paragraph"/>
    <w:basedOn w:val="Norml"/>
    <w:uiPriority w:val="34"/>
    <w:qFormat/>
    <w:rsid w:val="001E0BD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CE7F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E7F6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E070DD"/>
    <w:pPr>
      <w:jc w:val="center"/>
    </w:pPr>
    <w:rPr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E070DD"/>
    <w:rPr>
      <w:b/>
      <w:sz w:val="28"/>
    </w:rPr>
  </w:style>
  <w:style w:type="paragraph" w:styleId="Nincstrkz">
    <w:name w:val="No Spacing"/>
    <w:link w:val="NincstrkzChar"/>
    <w:uiPriority w:val="1"/>
    <w:qFormat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77DDD"/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405EB3"/>
    <w:rPr>
      <w:i/>
      <w:iCs/>
    </w:rPr>
  </w:style>
  <w:style w:type="paragraph" w:customStyle="1" w:styleId="xmsonormal">
    <w:name w:val="x_msonormal"/>
    <w:basedOn w:val="Norml"/>
    <w:rsid w:val="00405EB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F7F9-0D5C-4027-AD76-CB2E1503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984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Juszu</dc:creator>
  <cp:keywords/>
  <dc:description/>
  <cp:lastModifiedBy>Illés</cp:lastModifiedBy>
  <cp:revision>21</cp:revision>
  <cp:lastPrinted>2017-09-11T06:04:00Z</cp:lastPrinted>
  <dcterms:created xsi:type="dcterms:W3CDTF">2021-02-03T09:30:00Z</dcterms:created>
  <dcterms:modified xsi:type="dcterms:W3CDTF">2021-02-04T10:06:00Z</dcterms:modified>
</cp:coreProperties>
</file>