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1482" w:type="dxa"/>
        <w:tblInd w:w="-714" w:type="dxa"/>
        <w:tblLook w:val="04A0" w:firstRow="1" w:lastRow="0" w:firstColumn="1" w:lastColumn="0" w:noHBand="0" w:noVBand="1"/>
      </w:tblPr>
      <w:tblGrid>
        <w:gridCol w:w="2283"/>
        <w:gridCol w:w="1687"/>
        <w:gridCol w:w="2309"/>
        <w:gridCol w:w="2329"/>
        <w:gridCol w:w="2874"/>
      </w:tblGrid>
      <w:tr w:rsidR="0079408B" w14:paraId="376641B0" w14:textId="77777777" w:rsidTr="0079408B">
        <w:tc>
          <w:tcPr>
            <w:tcW w:w="6279" w:type="dxa"/>
            <w:gridSpan w:val="3"/>
          </w:tcPr>
          <w:p w14:paraId="09DD98D4" w14:textId="77777777" w:rsidR="002866CB" w:rsidRPr="004B59D4" w:rsidRDefault="002866CB" w:rsidP="00D73F66">
            <w:pPr>
              <w:rPr>
                <w:b/>
                <w:bCs/>
              </w:rPr>
            </w:pPr>
            <w:r w:rsidRPr="004B59D4">
              <w:rPr>
                <w:b/>
                <w:bCs/>
              </w:rPr>
              <w:t>Műtét előtt</w:t>
            </w:r>
          </w:p>
        </w:tc>
        <w:tc>
          <w:tcPr>
            <w:tcW w:w="2329" w:type="dxa"/>
          </w:tcPr>
          <w:p w14:paraId="153CBE48" w14:textId="4CCAA5CE" w:rsidR="002866CB" w:rsidRPr="004B59D4" w:rsidRDefault="002866CB" w:rsidP="00D73F6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Neuroax.érzéstelenítés</w:t>
            </w:r>
            <w:proofErr w:type="spellEnd"/>
          </w:p>
        </w:tc>
        <w:tc>
          <w:tcPr>
            <w:tcW w:w="2874" w:type="dxa"/>
            <w:tcBorders>
              <w:right w:val="single" w:sz="4" w:space="0" w:color="auto"/>
            </w:tcBorders>
          </w:tcPr>
          <w:p w14:paraId="565C8BA6" w14:textId="77777777" w:rsidR="002866CB" w:rsidRPr="004B59D4" w:rsidRDefault="002866CB" w:rsidP="00D73F66">
            <w:pPr>
              <w:rPr>
                <w:b/>
                <w:bCs/>
              </w:rPr>
            </w:pPr>
            <w:r w:rsidRPr="004B59D4">
              <w:rPr>
                <w:b/>
                <w:bCs/>
              </w:rPr>
              <w:t>Műtét után</w:t>
            </w:r>
          </w:p>
        </w:tc>
      </w:tr>
      <w:tr w:rsidR="00F50D31" w14:paraId="73A47CB6" w14:textId="77777777" w:rsidTr="0079408B">
        <w:tc>
          <w:tcPr>
            <w:tcW w:w="2283" w:type="dxa"/>
          </w:tcPr>
          <w:p w14:paraId="68F2C35E" w14:textId="77777777" w:rsidR="002866CB" w:rsidRDefault="002866CB" w:rsidP="00D73F66">
            <w:pPr>
              <w:rPr>
                <w:b/>
                <w:bCs/>
              </w:rPr>
            </w:pPr>
            <w:r w:rsidRPr="004B59D4">
              <w:rPr>
                <w:b/>
                <w:bCs/>
              </w:rPr>
              <w:t>K vitamin antag</w:t>
            </w:r>
            <w:r>
              <w:rPr>
                <w:b/>
                <w:bCs/>
              </w:rPr>
              <w:t>o</w:t>
            </w:r>
            <w:r w:rsidRPr="004B59D4">
              <w:rPr>
                <w:b/>
                <w:bCs/>
              </w:rPr>
              <w:t>nista</w:t>
            </w:r>
          </w:p>
          <w:p w14:paraId="443DE376" w14:textId="77777777" w:rsidR="002866CB" w:rsidRDefault="002866CB" w:rsidP="00D73F66">
            <w:proofErr w:type="spellStart"/>
            <w:r>
              <w:t>acenocumarol</w:t>
            </w:r>
            <w:proofErr w:type="spellEnd"/>
          </w:p>
          <w:p w14:paraId="154BF871" w14:textId="77777777" w:rsidR="002866CB" w:rsidRPr="004C29AF" w:rsidRDefault="002866CB" w:rsidP="00D73F66">
            <w:proofErr w:type="spellStart"/>
            <w:r>
              <w:t>warfarin</w:t>
            </w:r>
            <w:proofErr w:type="spellEnd"/>
            <w:r w:rsidRPr="004C29AF">
              <w:t xml:space="preserve"> </w:t>
            </w:r>
          </w:p>
        </w:tc>
        <w:tc>
          <w:tcPr>
            <w:tcW w:w="1687" w:type="dxa"/>
          </w:tcPr>
          <w:p w14:paraId="1E86C0F9" w14:textId="7E6EBF27" w:rsidR="002866CB" w:rsidRDefault="002866CB" w:rsidP="00D73F66">
            <w:r>
              <w:t xml:space="preserve">Műtét előtt      </w:t>
            </w:r>
            <w:r w:rsidR="007C7176">
              <w:t xml:space="preserve"> </w:t>
            </w:r>
            <w:r>
              <w:t xml:space="preserve">5 nappal </w:t>
            </w:r>
          </w:p>
          <w:p w14:paraId="32A5D398" w14:textId="0A2F1DCE" w:rsidR="002866CB" w:rsidRDefault="007C7176" w:rsidP="00D73F66">
            <w:r>
              <w:t>5 nappal</w:t>
            </w:r>
          </w:p>
        </w:tc>
        <w:tc>
          <w:tcPr>
            <w:tcW w:w="2309" w:type="dxa"/>
          </w:tcPr>
          <w:p w14:paraId="1EB33E78" w14:textId="3D246E2D" w:rsidR="002866CB" w:rsidRDefault="002866CB" w:rsidP="00D73F66">
            <w:proofErr w:type="spellStart"/>
            <w:r>
              <w:t>Th</w:t>
            </w:r>
            <w:proofErr w:type="spellEnd"/>
            <w:r>
              <w:t>. LMWH átállítás +</w:t>
            </w:r>
            <w:r w:rsidR="00F50D31">
              <w:t>/</w:t>
            </w:r>
            <w:r>
              <w:t xml:space="preserve"> INR kontroll</w:t>
            </w:r>
          </w:p>
          <w:p w14:paraId="5D7049AC" w14:textId="77777777" w:rsidR="002866CB" w:rsidRDefault="002866CB" w:rsidP="00D73F66"/>
        </w:tc>
        <w:tc>
          <w:tcPr>
            <w:tcW w:w="2329" w:type="dxa"/>
          </w:tcPr>
          <w:p w14:paraId="4657D37E" w14:textId="7F6E7CBF" w:rsidR="002866CB" w:rsidRDefault="00F50D31" w:rsidP="00D73F66">
            <w:r>
              <w:t>Elhagyás után</w:t>
            </w:r>
          </w:p>
          <w:p w14:paraId="37C741A6" w14:textId="27F6ABAA" w:rsidR="00F50D31" w:rsidRDefault="00F50D31" w:rsidP="00D73F66">
            <w:r>
              <w:t xml:space="preserve">5. nap </w:t>
            </w:r>
          </w:p>
        </w:tc>
        <w:tc>
          <w:tcPr>
            <w:tcW w:w="2874" w:type="dxa"/>
            <w:tcBorders>
              <w:right w:val="single" w:sz="4" w:space="0" w:color="auto"/>
            </w:tcBorders>
          </w:tcPr>
          <w:p w14:paraId="722E41F0" w14:textId="77777777" w:rsidR="002866CB" w:rsidRDefault="002866CB" w:rsidP="00D73F66">
            <w:r>
              <w:t>LMWH-</w:t>
            </w:r>
            <w:proofErr w:type="spellStart"/>
            <w:r>
              <w:t>val</w:t>
            </w:r>
            <w:proofErr w:type="spellEnd"/>
            <w:r>
              <w:t xml:space="preserve"> együtt cél INR értékig</w:t>
            </w:r>
          </w:p>
        </w:tc>
      </w:tr>
      <w:tr w:rsidR="00F50D31" w14:paraId="416280DD" w14:textId="77777777" w:rsidTr="0079408B">
        <w:tc>
          <w:tcPr>
            <w:tcW w:w="2283" w:type="dxa"/>
          </w:tcPr>
          <w:p w14:paraId="08513AF2" w14:textId="77777777" w:rsidR="002866CB" w:rsidRPr="004B59D4" w:rsidRDefault="002866CB" w:rsidP="00D73F66">
            <w:pPr>
              <w:rPr>
                <w:b/>
                <w:bCs/>
              </w:rPr>
            </w:pPr>
            <w:r w:rsidRPr="004B59D4">
              <w:rPr>
                <w:b/>
                <w:bCs/>
              </w:rPr>
              <w:t>DOAC</w:t>
            </w:r>
          </w:p>
          <w:p w14:paraId="2F4F0DE3" w14:textId="77777777" w:rsidR="002866CB" w:rsidRDefault="002866CB" w:rsidP="00D73F66"/>
          <w:p w14:paraId="06D48B3F" w14:textId="77777777" w:rsidR="002866CB" w:rsidRDefault="002866CB" w:rsidP="00D73F66"/>
        </w:tc>
        <w:tc>
          <w:tcPr>
            <w:tcW w:w="1687" w:type="dxa"/>
          </w:tcPr>
          <w:p w14:paraId="22EE91D5" w14:textId="77777777" w:rsidR="002866CB" w:rsidRDefault="002866CB" w:rsidP="00D73F66">
            <w:r>
              <w:t xml:space="preserve">Előírt nappal leállítani </w:t>
            </w:r>
            <w:proofErr w:type="spellStart"/>
            <w:r>
              <w:t>preop</w:t>
            </w:r>
            <w:proofErr w:type="spellEnd"/>
          </w:p>
          <w:p w14:paraId="355D56B8" w14:textId="77777777" w:rsidR="002866CB" w:rsidRDefault="002866CB" w:rsidP="00D73F66">
            <w:r>
              <w:t>1 nap, 2 nap</w:t>
            </w:r>
          </w:p>
        </w:tc>
        <w:tc>
          <w:tcPr>
            <w:tcW w:w="2309" w:type="dxa"/>
          </w:tcPr>
          <w:p w14:paraId="58D4AF7A" w14:textId="77777777" w:rsidR="002866CB" w:rsidRDefault="002866CB" w:rsidP="00D73F66"/>
          <w:p w14:paraId="725CC4F7" w14:textId="77777777" w:rsidR="002866CB" w:rsidRPr="00DD2ABE" w:rsidRDefault="002866CB" w:rsidP="00D73F66">
            <w:pPr>
              <w:rPr>
                <w:b/>
                <w:bCs/>
              </w:rPr>
            </w:pPr>
            <w:r w:rsidRPr="00DD2ABE">
              <w:rPr>
                <w:b/>
                <w:bCs/>
              </w:rPr>
              <w:t>NEM kell LMWH</w:t>
            </w:r>
          </w:p>
        </w:tc>
        <w:tc>
          <w:tcPr>
            <w:tcW w:w="2329" w:type="dxa"/>
          </w:tcPr>
          <w:p w14:paraId="6BFD3C47" w14:textId="77777777" w:rsidR="002866CB" w:rsidRDefault="002866CB" w:rsidP="00D73F66"/>
        </w:tc>
        <w:tc>
          <w:tcPr>
            <w:tcW w:w="2874" w:type="dxa"/>
            <w:tcBorders>
              <w:right w:val="single" w:sz="4" w:space="0" w:color="auto"/>
            </w:tcBorders>
          </w:tcPr>
          <w:p w14:paraId="7438C821" w14:textId="43C1B943" w:rsidR="002866CB" w:rsidRDefault="002866CB" w:rsidP="002866CB">
            <w:r>
              <w:t xml:space="preserve">Este vagy másnap reggel, ha nincs vérzéses rizikó </w:t>
            </w:r>
            <w:proofErr w:type="spellStart"/>
            <w:r>
              <w:t>p.o</w:t>
            </w:r>
            <w:proofErr w:type="spellEnd"/>
            <w:r>
              <w:t>. visszaindítandó.</w:t>
            </w:r>
          </w:p>
        </w:tc>
      </w:tr>
      <w:tr w:rsidR="00F50D31" w14:paraId="3C2FDA78" w14:textId="77777777" w:rsidTr="0079408B">
        <w:tc>
          <w:tcPr>
            <w:tcW w:w="2283" w:type="dxa"/>
          </w:tcPr>
          <w:p w14:paraId="7AF68742" w14:textId="77777777" w:rsidR="002866CB" w:rsidRDefault="002866CB" w:rsidP="00D73F66">
            <w:proofErr w:type="spellStart"/>
            <w:r>
              <w:t>Dabigatran</w:t>
            </w:r>
            <w:proofErr w:type="spellEnd"/>
          </w:p>
          <w:p w14:paraId="5EAFDB2C" w14:textId="77777777" w:rsidR="002866CB" w:rsidRDefault="002866CB" w:rsidP="00D73F66">
            <w:proofErr w:type="spellStart"/>
            <w:r>
              <w:t>Apixaban</w:t>
            </w:r>
            <w:proofErr w:type="spellEnd"/>
          </w:p>
          <w:p w14:paraId="1B780BEA" w14:textId="77777777" w:rsidR="002866CB" w:rsidRDefault="002866CB" w:rsidP="00D73F66">
            <w:proofErr w:type="spellStart"/>
            <w:r>
              <w:t>Edoxaban</w:t>
            </w:r>
            <w:proofErr w:type="spellEnd"/>
            <w:r>
              <w:t>/</w:t>
            </w:r>
            <w:proofErr w:type="spellStart"/>
            <w:r>
              <w:t>Rivaroxaban</w:t>
            </w:r>
            <w:proofErr w:type="spellEnd"/>
          </w:p>
        </w:tc>
        <w:tc>
          <w:tcPr>
            <w:tcW w:w="1687" w:type="dxa"/>
          </w:tcPr>
          <w:p w14:paraId="676DDD2F" w14:textId="77777777" w:rsidR="002866CB" w:rsidRDefault="002866CB" w:rsidP="00D73F66">
            <w:r>
              <w:t>Vérzéses rizikó</w:t>
            </w:r>
          </w:p>
          <w:p w14:paraId="7CCB315B" w14:textId="77777777" w:rsidR="002866CB" w:rsidRDefault="002866CB" w:rsidP="00D73F66">
            <w:proofErr w:type="gramStart"/>
            <w:r>
              <w:t xml:space="preserve">kp:   </w:t>
            </w:r>
            <w:proofErr w:type="gramEnd"/>
            <w:r>
              <w:t xml:space="preserve">         nagy:</w:t>
            </w:r>
          </w:p>
          <w:p w14:paraId="1A3175BC" w14:textId="77777777" w:rsidR="002866CB" w:rsidRDefault="002866CB" w:rsidP="00D73F66">
            <w:r>
              <w:t>1 nap        2 nap</w:t>
            </w:r>
          </w:p>
          <w:p w14:paraId="767E6291" w14:textId="77777777" w:rsidR="002866CB" w:rsidRDefault="002866CB" w:rsidP="00D73F66">
            <w:r>
              <w:t>műtét: 3. nap</w:t>
            </w:r>
          </w:p>
        </w:tc>
        <w:tc>
          <w:tcPr>
            <w:tcW w:w="2309" w:type="dxa"/>
          </w:tcPr>
          <w:p w14:paraId="69985A7F" w14:textId="77777777" w:rsidR="002866CB" w:rsidRDefault="002866CB" w:rsidP="00D73F66"/>
        </w:tc>
        <w:tc>
          <w:tcPr>
            <w:tcW w:w="2329" w:type="dxa"/>
          </w:tcPr>
          <w:p w14:paraId="363F28B8" w14:textId="3EE9A57F" w:rsidR="002866CB" w:rsidRPr="00C86EA1" w:rsidRDefault="00F50D31" w:rsidP="00D73F66">
            <w:r>
              <w:t xml:space="preserve">3.-5. nap </w:t>
            </w:r>
            <w:r w:rsidRPr="00C86EA1">
              <w:t>(</w:t>
            </w:r>
            <w:proofErr w:type="spellStart"/>
            <w:r w:rsidRPr="00C86EA1">
              <w:t>CrCl</w:t>
            </w:r>
            <w:proofErr w:type="spellEnd"/>
            <w:r w:rsidRPr="00C86EA1">
              <w:t xml:space="preserve"> függő)</w:t>
            </w:r>
          </w:p>
          <w:p w14:paraId="55A72B14" w14:textId="247EC617" w:rsidR="00F50D31" w:rsidRDefault="00F50D31" w:rsidP="00D73F66">
            <w:r>
              <w:t>3. nap</w:t>
            </w:r>
          </w:p>
          <w:p w14:paraId="14D4A3DD" w14:textId="2E8228BD" w:rsidR="00F50D31" w:rsidRDefault="00F50D31" w:rsidP="00D73F66">
            <w:r>
              <w:t>3. nap</w:t>
            </w:r>
          </w:p>
        </w:tc>
        <w:tc>
          <w:tcPr>
            <w:tcW w:w="2874" w:type="dxa"/>
            <w:tcBorders>
              <w:right w:val="single" w:sz="4" w:space="0" w:color="auto"/>
            </w:tcBorders>
          </w:tcPr>
          <w:p w14:paraId="187EA039" w14:textId="77777777" w:rsidR="00BD3E27" w:rsidRDefault="002866CB" w:rsidP="002866CB">
            <w:r>
              <w:t xml:space="preserve">Nagy vérzéses rizikóban 2 nap szünet után. </w:t>
            </w:r>
          </w:p>
          <w:p w14:paraId="3DD1FEFC" w14:textId="26783721" w:rsidR="002866CB" w:rsidRDefault="002866CB" w:rsidP="002866CB">
            <w:r>
              <w:t xml:space="preserve">Magas </w:t>
            </w:r>
            <w:proofErr w:type="spellStart"/>
            <w:r>
              <w:t>trombotikus</w:t>
            </w:r>
            <w:proofErr w:type="spellEnd"/>
            <w:r>
              <w:t xml:space="preserve"> rizikó: LMWH.</w:t>
            </w:r>
          </w:p>
        </w:tc>
      </w:tr>
      <w:tr w:rsidR="000579E6" w14:paraId="72E1BC67" w14:textId="77777777" w:rsidTr="000A3041">
        <w:tc>
          <w:tcPr>
            <w:tcW w:w="11482" w:type="dxa"/>
            <w:gridSpan w:val="5"/>
            <w:tcBorders>
              <w:right w:val="single" w:sz="4" w:space="0" w:color="auto"/>
            </w:tcBorders>
          </w:tcPr>
          <w:p w14:paraId="456FF39E" w14:textId="77777777" w:rsidR="000579E6" w:rsidRDefault="000579E6" w:rsidP="00D73F66">
            <w:proofErr w:type="spellStart"/>
            <w:r w:rsidRPr="004B59D4">
              <w:rPr>
                <w:b/>
                <w:bCs/>
              </w:rPr>
              <w:t>Trombocita</w:t>
            </w:r>
            <w:proofErr w:type="spellEnd"/>
            <w:r w:rsidRPr="004B59D4">
              <w:rPr>
                <w:b/>
                <w:bCs/>
              </w:rPr>
              <w:t xml:space="preserve"> </w:t>
            </w:r>
            <w:proofErr w:type="spellStart"/>
            <w:r w:rsidRPr="004B59D4">
              <w:rPr>
                <w:b/>
                <w:bCs/>
              </w:rPr>
              <w:t>aggregáció</w:t>
            </w:r>
            <w:proofErr w:type="spellEnd"/>
            <w:r w:rsidRPr="004B59D4">
              <w:rPr>
                <w:b/>
                <w:bCs/>
              </w:rPr>
              <w:t xml:space="preserve"> gátlók</w:t>
            </w:r>
            <w:r>
              <w:t xml:space="preserve">: </w:t>
            </w:r>
            <w:r w:rsidRPr="00A14279">
              <w:rPr>
                <w:b/>
                <w:bCs/>
              </w:rPr>
              <w:t>NEM alternatíva az LMWH</w:t>
            </w:r>
          </w:p>
        </w:tc>
      </w:tr>
      <w:tr w:rsidR="00F50D31" w14:paraId="100827B7" w14:textId="77777777" w:rsidTr="0079408B">
        <w:tc>
          <w:tcPr>
            <w:tcW w:w="2283" w:type="dxa"/>
          </w:tcPr>
          <w:p w14:paraId="5905AA9C" w14:textId="77777777" w:rsidR="002866CB" w:rsidRDefault="002866CB" w:rsidP="00D73F66">
            <w:proofErr w:type="spellStart"/>
            <w:r>
              <w:t>Clopidogrel</w:t>
            </w:r>
            <w:proofErr w:type="spellEnd"/>
            <w:r>
              <w:t xml:space="preserve"> </w:t>
            </w:r>
          </w:p>
          <w:p w14:paraId="01079F3B" w14:textId="77777777" w:rsidR="002866CB" w:rsidRDefault="002866CB" w:rsidP="00D73F66">
            <w:proofErr w:type="spellStart"/>
            <w:r>
              <w:t>Prasugrel</w:t>
            </w:r>
            <w:proofErr w:type="spellEnd"/>
          </w:p>
          <w:p w14:paraId="14DC35E2" w14:textId="77777777" w:rsidR="00F50D31" w:rsidRDefault="00F50D31" w:rsidP="00D73F66">
            <w:proofErr w:type="spellStart"/>
            <w:r>
              <w:t>Ticlopidin</w:t>
            </w:r>
            <w:proofErr w:type="spellEnd"/>
          </w:p>
          <w:p w14:paraId="496F11CA" w14:textId="6D76D0F9" w:rsidR="00F639D7" w:rsidRDefault="00F639D7" w:rsidP="00D73F66">
            <w:proofErr w:type="spellStart"/>
            <w:r>
              <w:t>Ticagrelor</w:t>
            </w:r>
            <w:proofErr w:type="spellEnd"/>
          </w:p>
        </w:tc>
        <w:tc>
          <w:tcPr>
            <w:tcW w:w="1687" w:type="dxa"/>
          </w:tcPr>
          <w:p w14:paraId="01E71797" w14:textId="77777777" w:rsidR="002866CB" w:rsidRDefault="002866CB" w:rsidP="00D73F66">
            <w:r>
              <w:t>5 nap</w:t>
            </w:r>
          </w:p>
          <w:p w14:paraId="76C23959" w14:textId="6C7E58A9" w:rsidR="00F639D7" w:rsidRDefault="000579E6" w:rsidP="00D73F66">
            <w:r>
              <w:t>4-7 nap</w:t>
            </w:r>
          </w:p>
          <w:p w14:paraId="4AFBE99C" w14:textId="77777777" w:rsidR="00F639D7" w:rsidRDefault="00F639D7" w:rsidP="00D73F66">
            <w:r>
              <w:t>7 nap</w:t>
            </w:r>
          </w:p>
          <w:p w14:paraId="450A5A88" w14:textId="16110E5A" w:rsidR="00F639D7" w:rsidRDefault="00F639D7" w:rsidP="00D73F66">
            <w:r>
              <w:t>5 nap</w:t>
            </w:r>
          </w:p>
        </w:tc>
        <w:tc>
          <w:tcPr>
            <w:tcW w:w="2309" w:type="dxa"/>
          </w:tcPr>
          <w:p w14:paraId="393FFFAE" w14:textId="5BE935C6" w:rsidR="002866CB" w:rsidRDefault="002866CB" w:rsidP="00D73F66">
            <w:r>
              <w:t xml:space="preserve">Sze. intervenciós kardiológus </w:t>
            </w:r>
            <w:proofErr w:type="spellStart"/>
            <w:r>
              <w:t>konz</w:t>
            </w:r>
            <w:proofErr w:type="spellEnd"/>
            <w:r>
              <w:t xml:space="preserve">. Magas </w:t>
            </w:r>
            <w:proofErr w:type="spellStart"/>
            <w:r>
              <w:t>trombotikus</w:t>
            </w:r>
            <w:proofErr w:type="spellEnd"/>
            <w:r>
              <w:t xml:space="preserve"> rizikó </w:t>
            </w:r>
            <w:r w:rsidRPr="00A14279">
              <w:rPr>
                <w:b/>
                <w:bCs/>
              </w:rPr>
              <w:t>Aszpirin</w:t>
            </w:r>
            <w:r>
              <w:t xml:space="preserve"> átállítás</w:t>
            </w:r>
          </w:p>
        </w:tc>
        <w:tc>
          <w:tcPr>
            <w:tcW w:w="2329" w:type="dxa"/>
          </w:tcPr>
          <w:p w14:paraId="0068B0C0" w14:textId="77777777" w:rsidR="002866CB" w:rsidRDefault="00F50D31" w:rsidP="00D73F66">
            <w:r>
              <w:t>5.-7. nap</w:t>
            </w:r>
          </w:p>
          <w:p w14:paraId="210401EF" w14:textId="77777777" w:rsidR="00F50D31" w:rsidRDefault="00F50D31" w:rsidP="00D73F66">
            <w:r>
              <w:t>7.-10. nap</w:t>
            </w:r>
          </w:p>
          <w:p w14:paraId="345F6CEC" w14:textId="77777777" w:rsidR="00F639D7" w:rsidRDefault="00F639D7" w:rsidP="00D73F66">
            <w:r>
              <w:t>10. nap</w:t>
            </w:r>
          </w:p>
          <w:p w14:paraId="67407BBE" w14:textId="4EED185B" w:rsidR="00F639D7" w:rsidRDefault="00F639D7" w:rsidP="00D73F66">
            <w:r>
              <w:t>5.-7. nap</w:t>
            </w:r>
          </w:p>
        </w:tc>
        <w:tc>
          <w:tcPr>
            <w:tcW w:w="2874" w:type="dxa"/>
            <w:tcBorders>
              <w:right w:val="single" w:sz="4" w:space="0" w:color="auto"/>
            </w:tcBorders>
          </w:tcPr>
          <w:p w14:paraId="5850FC9C" w14:textId="2FB9302B" w:rsidR="000579E6" w:rsidRDefault="000579E6" w:rsidP="00D73F66">
            <w:r>
              <w:t xml:space="preserve">Vérzéstől, műtéttől függően, </w:t>
            </w:r>
          </w:p>
          <w:p w14:paraId="2FD81771" w14:textId="01C5F061" w:rsidR="000579E6" w:rsidRDefault="000579E6" w:rsidP="000579E6">
            <w:r>
              <w:t>általában 2. nap</w:t>
            </w:r>
          </w:p>
        </w:tc>
      </w:tr>
      <w:tr w:rsidR="00F50D31" w14:paraId="745AC1F7" w14:textId="77777777" w:rsidTr="0079408B">
        <w:tc>
          <w:tcPr>
            <w:tcW w:w="2283" w:type="dxa"/>
          </w:tcPr>
          <w:p w14:paraId="23E84CE8" w14:textId="77777777" w:rsidR="002866CB" w:rsidRDefault="002866CB" w:rsidP="00D73F66">
            <w:proofErr w:type="spellStart"/>
            <w:r>
              <w:t>Cilostasol</w:t>
            </w:r>
            <w:proofErr w:type="spellEnd"/>
          </w:p>
          <w:p w14:paraId="21DB2751" w14:textId="77777777" w:rsidR="002866CB" w:rsidRDefault="002866CB" w:rsidP="00D73F66">
            <w:proofErr w:type="spellStart"/>
            <w:r>
              <w:t>Soludexid</w:t>
            </w:r>
            <w:proofErr w:type="spellEnd"/>
          </w:p>
        </w:tc>
        <w:tc>
          <w:tcPr>
            <w:tcW w:w="1687" w:type="dxa"/>
          </w:tcPr>
          <w:p w14:paraId="6F800964" w14:textId="77777777" w:rsidR="002866CB" w:rsidRDefault="002866CB" w:rsidP="00D73F66">
            <w:r>
              <w:t>3 nap</w:t>
            </w:r>
          </w:p>
        </w:tc>
        <w:tc>
          <w:tcPr>
            <w:tcW w:w="2309" w:type="dxa"/>
          </w:tcPr>
          <w:p w14:paraId="1DF53FA9" w14:textId="77777777" w:rsidR="002866CB" w:rsidRDefault="002866CB" w:rsidP="00D73F66"/>
        </w:tc>
        <w:tc>
          <w:tcPr>
            <w:tcW w:w="2329" w:type="dxa"/>
          </w:tcPr>
          <w:p w14:paraId="6497F376" w14:textId="02234887" w:rsidR="002866CB" w:rsidRDefault="003857FC" w:rsidP="00D73F66">
            <w:r>
              <w:t>4</w:t>
            </w:r>
            <w:r w:rsidR="00F50D31">
              <w:t>. nap</w:t>
            </w:r>
          </w:p>
        </w:tc>
        <w:tc>
          <w:tcPr>
            <w:tcW w:w="2874" w:type="dxa"/>
            <w:tcBorders>
              <w:right w:val="single" w:sz="4" w:space="0" w:color="auto"/>
            </w:tcBorders>
          </w:tcPr>
          <w:p w14:paraId="3463D122" w14:textId="77777777" w:rsidR="002866CB" w:rsidRDefault="002866CB" w:rsidP="00D73F66"/>
        </w:tc>
      </w:tr>
      <w:tr w:rsidR="00F50D31" w14:paraId="07E32B6B" w14:textId="77777777" w:rsidTr="0079408B">
        <w:tc>
          <w:tcPr>
            <w:tcW w:w="2283" w:type="dxa"/>
          </w:tcPr>
          <w:p w14:paraId="58D01EE9" w14:textId="77777777" w:rsidR="002866CB" w:rsidRDefault="002866CB" w:rsidP="00D73F66">
            <w:r>
              <w:t>Aszpirin</w:t>
            </w:r>
          </w:p>
        </w:tc>
        <w:tc>
          <w:tcPr>
            <w:tcW w:w="1687" w:type="dxa"/>
          </w:tcPr>
          <w:p w14:paraId="433EA5FD" w14:textId="77777777" w:rsidR="002866CB" w:rsidRDefault="002866CB" w:rsidP="00D73F66">
            <w:r>
              <w:t>nem kell leállítani</w:t>
            </w:r>
          </w:p>
        </w:tc>
        <w:tc>
          <w:tcPr>
            <w:tcW w:w="2309" w:type="dxa"/>
          </w:tcPr>
          <w:p w14:paraId="5572B07A" w14:textId="77777777" w:rsidR="002866CB" w:rsidRDefault="002866CB" w:rsidP="00D73F66">
            <w:r>
              <w:t xml:space="preserve">Leállítás csak: </w:t>
            </w:r>
          </w:p>
          <w:p w14:paraId="2BE922CC" w14:textId="77777777" w:rsidR="002866CB" w:rsidRDefault="002866CB" w:rsidP="00D73F66">
            <w:r>
              <w:t>agy- és gerincvelő műtét</w:t>
            </w:r>
          </w:p>
        </w:tc>
        <w:tc>
          <w:tcPr>
            <w:tcW w:w="2329" w:type="dxa"/>
          </w:tcPr>
          <w:p w14:paraId="29E8A3DC" w14:textId="13C89B52" w:rsidR="002866CB" w:rsidRDefault="00C86EA1" w:rsidP="00D73F66">
            <w:r>
              <w:t>aszpirin mellett végezhető</w:t>
            </w:r>
          </w:p>
        </w:tc>
        <w:tc>
          <w:tcPr>
            <w:tcW w:w="2874" w:type="dxa"/>
            <w:tcBorders>
              <w:right w:val="single" w:sz="4" w:space="0" w:color="auto"/>
            </w:tcBorders>
          </w:tcPr>
          <w:p w14:paraId="5CE2E7CA" w14:textId="77777777" w:rsidR="002866CB" w:rsidRDefault="002866CB" w:rsidP="00D73F66">
            <w:r>
              <w:t>Idegsebész konzultáció</w:t>
            </w:r>
          </w:p>
        </w:tc>
      </w:tr>
      <w:tr w:rsidR="002866CB" w14:paraId="2BA2C08A" w14:textId="77777777" w:rsidTr="002866CB">
        <w:tc>
          <w:tcPr>
            <w:tcW w:w="1148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703E631" w14:textId="04720D63" w:rsidR="002866CB" w:rsidRDefault="002866CB" w:rsidP="000579E6">
            <w:r>
              <w:t xml:space="preserve">Idős, </w:t>
            </w:r>
            <w:proofErr w:type="spellStart"/>
            <w:r>
              <w:t>azotémiás</w:t>
            </w:r>
            <w:proofErr w:type="spellEnd"/>
            <w:r>
              <w:t xml:space="preserve">, veseelégtelen, esendő betegnél DOAC szint, </w:t>
            </w:r>
            <w:proofErr w:type="spellStart"/>
            <w:r>
              <w:t>tct-aggregáció</w:t>
            </w:r>
            <w:proofErr w:type="spellEnd"/>
            <w:r>
              <w:t xml:space="preserve"> mérés LMI-ben </w:t>
            </w:r>
            <w:r w:rsidR="00BD3E27">
              <w:t xml:space="preserve">tervezett </w:t>
            </w:r>
            <w:r>
              <w:t xml:space="preserve">nagy vérzéssel járó műtét előtti napon megfontolandó.  </w:t>
            </w:r>
          </w:p>
        </w:tc>
      </w:tr>
    </w:tbl>
    <w:p w14:paraId="63B3E1F5" w14:textId="42299CF0" w:rsidR="005D3FF4" w:rsidRDefault="005D3FF4"/>
    <w:p w14:paraId="26AD7EF3" w14:textId="77777777" w:rsidR="002866CB" w:rsidRDefault="002866CB" w:rsidP="002866CB">
      <w:r w:rsidRPr="00886389">
        <w:t>https://www.ncbi.nlm.nih.gov/books/NBK557590/</w:t>
      </w:r>
      <w:r w:rsidRPr="00CB3B96">
        <w:t>October 23, 2022.</w:t>
      </w:r>
    </w:p>
    <w:p w14:paraId="68EBE493" w14:textId="77777777" w:rsidR="002866CB" w:rsidRDefault="00E36F9A" w:rsidP="002866CB">
      <w:hyperlink r:id="rId4" w:history="1">
        <w:r w:rsidR="002866CB" w:rsidRPr="005529AC">
          <w:rPr>
            <w:rStyle w:val="Hiperhivatkozs"/>
          </w:rPr>
          <w:t>https://emedicine.medscape.com/article/285265-overview</w:t>
        </w:r>
      </w:hyperlink>
    </w:p>
    <w:p w14:paraId="51767023" w14:textId="4D356935" w:rsidR="002866CB" w:rsidRDefault="002866CB">
      <w:r w:rsidRPr="00962F75">
        <w:t>https://www.uptodate.com/contents/perioperative-management-of-patients-receiving-anticoagulants</w:t>
      </w:r>
    </w:p>
    <w:sectPr w:rsidR="002866CB" w:rsidSect="002866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CB"/>
    <w:rsid w:val="000579E6"/>
    <w:rsid w:val="00225ABF"/>
    <w:rsid w:val="002866CB"/>
    <w:rsid w:val="003857FC"/>
    <w:rsid w:val="005D3FF4"/>
    <w:rsid w:val="0079408B"/>
    <w:rsid w:val="007C7176"/>
    <w:rsid w:val="00BD3E27"/>
    <w:rsid w:val="00C86EA1"/>
    <w:rsid w:val="00F50D31"/>
    <w:rsid w:val="00F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F883"/>
  <w15:chartTrackingRefBased/>
  <w15:docId w15:val="{1BA9915B-B80E-40D0-9696-855166EB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6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866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edicine.medscape.com/article/285265-overview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P?csi Tudom?nyegyetem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Szepesné Dr. Mühl Diána Gabriella</dc:creator>
  <cp:keywords/>
  <dc:description/>
  <cp:lastModifiedBy>Szepesné Dr. Mühl Diána Gabriella</cp:lastModifiedBy>
  <cp:revision>5</cp:revision>
  <dcterms:created xsi:type="dcterms:W3CDTF">2023-02-25T17:40:00Z</dcterms:created>
  <dcterms:modified xsi:type="dcterms:W3CDTF">2023-02-26T15:01:00Z</dcterms:modified>
</cp:coreProperties>
</file>