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58" w:rsidRDefault="00C12587">
      <w:r w:rsidRPr="00DD7A77">
        <w:rPr>
          <w:b/>
          <w:sz w:val="28"/>
          <w:szCs w:val="28"/>
        </w:rPr>
        <w:t>Duna Program</w:t>
      </w:r>
      <w:r w:rsidR="0074582F">
        <w:t xml:space="preserve"> (</w:t>
      </w:r>
      <w:hyperlink r:id="rId5" w:history="1">
        <w:r w:rsidR="0074582F" w:rsidRPr="0074582F">
          <w:rPr>
            <w:rStyle w:val="Hiperhivatkozs"/>
          </w:rPr>
          <w:t>http://www.interreg-danube.eu/</w:t>
        </w:r>
      </w:hyperlink>
      <w:r w:rsidR="0074582F">
        <w:t xml:space="preserve">) </w:t>
      </w:r>
    </w:p>
    <w:p w:rsidR="00C12587" w:rsidRDefault="00C12587" w:rsidP="00F96B59">
      <w:pPr>
        <w:jc w:val="both"/>
      </w:pPr>
      <w:r w:rsidRPr="00C12587">
        <w:t xml:space="preserve">Az </w:t>
      </w:r>
      <w:r w:rsidR="0037767E">
        <w:t>Európai Területi Együttműködési programok</w:t>
      </w:r>
      <w:r w:rsidRPr="00C12587">
        <w:t xml:space="preserve"> keretében a tagállamok határon átnyúló, </w:t>
      </w:r>
      <w:r w:rsidRPr="0037767E">
        <w:rPr>
          <w:b/>
        </w:rPr>
        <w:t>transznacionális</w:t>
      </w:r>
      <w:r w:rsidRPr="00C12587">
        <w:t xml:space="preserve"> és – alapvetően tapasztalatcserére épülő – </w:t>
      </w:r>
      <w:proofErr w:type="spellStart"/>
      <w:r w:rsidRPr="00C12587">
        <w:t>interregionális</w:t>
      </w:r>
      <w:proofErr w:type="spellEnd"/>
      <w:r w:rsidRPr="00C12587">
        <w:t xml:space="preserve"> együttműködési programokat dolgoznak ki és valósítanak meg együtt.</w:t>
      </w:r>
    </w:p>
    <w:p w:rsidR="00B95AFC" w:rsidRDefault="00B95AFC" w:rsidP="00D9377E">
      <w:pPr>
        <w:jc w:val="both"/>
      </w:pPr>
      <w:r>
        <w:t>A 2007-13-as program-időszakban a DUNA régió országai a valamivel nagyobb területet magában foglaló Délkelet Európai (SEE) programban működhettek együtt (http://www.southeast-europe.net). Az új időszakban a SEE program három utódprogram (Duna, ADRION, BALK</w:t>
      </w:r>
      <w:r w:rsidR="00D9377E">
        <w:t>AN-MED) formájában folytatódik.</w:t>
      </w:r>
    </w:p>
    <w:p w:rsidR="00B95AFC" w:rsidRDefault="00B95AFC" w:rsidP="00D9377E">
      <w:pPr>
        <w:jc w:val="both"/>
      </w:pPr>
      <w:r>
        <w:t xml:space="preserve">A Duna Transznacionális Program területe a SEE programéhoz képest kibővült Németország két tartományával és Csehországgal, ugyanakkor csökkent Albánia, Macedónia, Görögország és Olaszország területével, így a programtér megegyezik a 2011-ben másodikként elfogadott </w:t>
      </w:r>
      <w:proofErr w:type="spellStart"/>
      <w:r>
        <w:t>makroregionális</w:t>
      </w:r>
      <w:proofErr w:type="spellEnd"/>
      <w:r>
        <w:t xml:space="preserve"> stratégia, az EU Duna Régió Stratégia (EUDRS) területével.</w:t>
      </w:r>
    </w:p>
    <w:p w:rsidR="00B95AFC" w:rsidRDefault="0075541E" w:rsidP="00B95AFC">
      <w:r w:rsidRPr="0075541E">
        <w:rPr>
          <w:noProof/>
          <w:lang w:eastAsia="hu-HU"/>
        </w:rPr>
        <w:drawing>
          <wp:inline distT="0" distB="0" distL="0" distR="0">
            <wp:extent cx="5760720" cy="391281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1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574" w:rsidRDefault="00786574" w:rsidP="00D9377E">
      <w:pPr>
        <w:jc w:val="both"/>
      </w:pPr>
      <w:r>
        <w:t xml:space="preserve">A DUNA program prioritásai között a transznacionális együttműködés hagyományos témái mellett megjelenik az </w:t>
      </w:r>
      <w:r w:rsidRPr="003905FC">
        <w:rPr>
          <w:b/>
        </w:rPr>
        <w:t>EUDRS végrehajtásának és koordinációjának a támogatása</w:t>
      </w:r>
      <w:r>
        <w:t xml:space="preserve"> is. Az Európai Bizottság (EB) </w:t>
      </w:r>
      <w:r w:rsidRPr="007C5655">
        <w:t xml:space="preserve">2015 </w:t>
      </w:r>
      <w:r w:rsidR="007C5655" w:rsidRPr="007C5655">
        <w:t>augusztus 20-án elfogadta</w:t>
      </w:r>
      <w:r w:rsidRPr="007C5655">
        <w:t xml:space="preserve"> a pro</w:t>
      </w:r>
      <w:r w:rsidR="001A77AC">
        <w:t>gramdokumentumot.</w:t>
      </w:r>
    </w:p>
    <w:p w:rsidR="00FC0412" w:rsidRDefault="00FC0412" w:rsidP="00D9377E">
      <w:pPr>
        <w:jc w:val="both"/>
      </w:pPr>
      <w:r>
        <w:t xml:space="preserve">A program első pályázati felhívása </w:t>
      </w:r>
      <w:r w:rsidRPr="003905FC">
        <w:rPr>
          <w:b/>
        </w:rPr>
        <w:t xml:space="preserve">kétfordulós </w:t>
      </w:r>
      <w:r>
        <w:t>lesz. Az első fordulóban az elképzelt együttműködések vázlatos tervét</w:t>
      </w:r>
      <w:r w:rsidR="00B14321">
        <w:t xml:space="preserve"> (</w:t>
      </w:r>
      <w:proofErr w:type="spellStart"/>
      <w:r w:rsidR="00B14321">
        <w:t>Expression</w:t>
      </w:r>
      <w:proofErr w:type="spellEnd"/>
      <w:r w:rsidR="00B14321">
        <w:t xml:space="preserve"> of Interest)</w:t>
      </w:r>
      <w:r>
        <w:t xml:space="preserve"> lehet majd benyújtani. Az értékelés és döntéshozatal után a legígéretesebb tervek készítői kapnak majd felkérést a projekt részletes kidolgozására.</w:t>
      </w:r>
      <w:r w:rsidR="00AE7B9F">
        <w:t xml:space="preserve"> A vezető partner és a projekt beavatkozási logikája nem változtatható a második körben.</w:t>
      </w:r>
    </w:p>
    <w:p w:rsidR="00FC0412" w:rsidRDefault="00FC0412" w:rsidP="00D9377E">
      <w:pPr>
        <w:jc w:val="both"/>
      </w:pPr>
      <w:r w:rsidRPr="00977D64">
        <w:t xml:space="preserve">Az első forduló </w:t>
      </w:r>
      <w:r w:rsidR="00977D64" w:rsidRPr="00977D64">
        <w:t>2015 szeptember 23-án</w:t>
      </w:r>
      <w:r w:rsidRPr="00977D64">
        <w:t xml:space="preserve"> jelenik meg, és a pályázatok </w:t>
      </w:r>
      <w:r w:rsidR="00977D64" w:rsidRPr="00977D64">
        <w:t xml:space="preserve">benyújtására </w:t>
      </w:r>
      <w:r w:rsidR="00977D64" w:rsidRPr="00977D64">
        <w:rPr>
          <w:b/>
        </w:rPr>
        <w:t>2015 november 3-ig</w:t>
      </w:r>
      <w:r w:rsidRPr="00977D64">
        <w:rPr>
          <w:b/>
        </w:rPr>
        <w:t xml:space="preserve"> </w:t>
      </w:r>
      <w:r w:rsidRPr="00977D64">
        <w:t>lesz lehetőség. A programszintű</w:t>
      </w:r>
      <w:r>
        <w:t xml:space="preserve"> nyitókonferencia Budapesten kerül megrendez</w:t>
      </w:r>
      <w:r w:rsidR="00EE5484">
        <w:t>ésre, 2015. szeptember 23-24-én.</w:t>
      </w:r>
    </w:p>
    <w:p w:rsidR="001E4266" w:rsidRDefault="001E4266" w:rsidP="00EE5484">
      <w:pPr>
        <w:rPr>
          <w:b/>
        </w:rPr>
      </w:pPr>
    </w:p>
    <w:p w:rsidR="001E4266" w:rsidRPr="006D0681" w:rsidRDefault="001E4266" w:rsidP="001E4266">
      <w:pPr>
        <w:rPr>
          <w:b/>
        </w:rPr>
      </w:pPr>
      <w:r w:rsidRPr="006D0681">
        <w:rPr>
          <w:b/>
        </w:rPr>
        <w:t>A DUNA program prioritásai:</w:t>
      </w:r>
    </w:p>
    <w:p w:rsidR="001E4266" w:rsidRPr="00F43196" w:rsidRDefault="00D54EE6" w:rsidP="00D9377E">
      <w:pPr>
        <w:jc w:val="both"/>
      </w:pPr>
      <w:r>
        <w:t xml:space="preserve">1 – </w:t>
      </w:r>
      <w:r w:rsidR="00F41E23">
        <w:t>Az innovatív</w:t>
      </w:r>
      <w:r>
        <w:t xml:space="preserve"> és társadalmi</w:t>
      </w:r>
      <w:r w:rsidR="00F41E23">
        <w:t>lag felelős</w:t>
      </w:r>
      <w:r w:rsidR="003A45EC" w:rsidRPr="00F43196">
        <w:t xml:space="preserve"> Duna Régió</w:t>
      </w:r>
    </w:p>
    <w:p w:rsidR="003A45EC" w:rsidRPr="00F43196" w:rsidRDefault="00F873EA" w:rsidP="00D9377E">
      <w:pPr>
        <w:pStyle w:val="Listaszerbekezds"/>
        <w:numPr>
          <w:ilvl w:val="1"/>
          <w:numId w:val="2"/>
        </w:numPr>
        <w:ind w:left="1068"/>
        <w:jc w:val="both"/>
      </w:pPr>
      <w:r>
        <w:t xml:space="preserve"> </w:t>
      </w:r>
      <w:r w:rsidR="003A45EC" w:rsidRPr="00F43196">
        <w:t>Az inn</w:t>
      </w:r>
      <w:r w:rsidR="00F43196" w:rsidRPr="00F43196">
        <w:t>ovációs keretrendszerének fejlesztése</w:t>
      </w:r>
    </w:p>
    <w:p w:rsidR="00F43196" w:rsidRPr="00F873EA" w:rsidRDefault="00490355" w:rsidP="00D9377E">
      <w:pPr>
        <w:ind w:left="708"/>
        <w:jc w:val="both"/>
      </w:pPr>
      <w:r>
        <w:t>1.2.</w:t>
      </w:r>
      <w:r w:rsidR="00F43196" w:rsidRPr="00F43196">
        <w:t xml:space="preserve"> </w:t>
      </w:r>
      <w:r w:rsidR="00F43196" w:rsidRPr="00F873EA">
        <w:t xml:space="preserve">Üzleti és társadalmi innovációval kapcsolatos kompetencia-fejlesztés </w:t>
      </w:r>
    </w:p>
    <w:p w:rsidR="001E4266" w:rsidRDefault="001E4266" w:rsidP="00D9377E">
      <w:pPr>
        <w:jc w:val="both"/>
      </w:pPr>
      <w:r w:rsidRPr="00F873EA">
        <w:t>2 – Környezet</w:t>
      </w:r>
      <w:r w:rsidR="00F873EA" w:rsidRPr="00F873EA">
        <w:t>i</w:t>
      </w:r>
      <w:r w:rsidRPr="00F873EA">
        <w:t xml:space="preserve"> és kulturális felelősség a Duna Régióban</w:t>
      </w:r>
    </w:p>
    <w:p w:rsidR="00F873EA" w:rsidRDefault="00F873EA" w:rsidP="00D9377E">
      <w:pPr>
        <w:ind w:left="708"/>
        <w:jc w:val="both"/>
      </w:pPr>
      <w:r>
        <w:t xml:space="preserve">2.1. </w:t>
      </w:r>
      <w:r w:rsidR="007F3A64">
        <w:t xml:space="preserve">A transznacionális vízgazdálkodás </w:t>
      </w:r>
      <w:r w:rsidR="00CE123D">
        <w:t xml:space="preserve">és </w:t>
      </w:r>
      <w:r w:rsidR="008871BB">
        <w:t>az árvíz-</w:t>
      </w:r>
      <w:r w:rsidR="00CE123D">
        <w:t>prevenció megerősítése</w:t>
      </w:r>
    </w:p>
    <w:p w:rsidR="00CE123D" w:rsidRDefault="00CE123D" w:rsidP="00D9377E">
      <w:pPr>
        <w:ind w:left="708"/>
        <w:jc w:val="both"/>
      </w:pPr>
      <w:r>
        <w:t xml:space="preserve">2.2. </w:t>
      </w:r>
      <w:r w:rsidR="007B5730">
        <w:t xml:space="preserve">A természeti erőforrások </w:t>
      </w:r>
      <w:r w:rsidR="00B5782F">
        <w:t>és kulturális örökség fenntartható hasznosításának elősegítése</w:t>
      </w:r>
    </w:p>
    <w:p w:rsidR="00FD6FD2" w:rsidRPr="00490355" w:rsidRDefault="00B5782F" w:rsidP="00D9377E">
      <w:pPr>
        <w:ind w:left="708"/>
        <w:jc w:val="both"/>
      </w:pPr>
      <w:r w:rsidRPr="00490355">
        <w:t xml:space="preserve">2.3. </w:t>
      </w:r>
      <w:r w:rsidR="00CF3C2E" w:rsidRPr="00490355">
        <w:t xml:space="preserve">Ökológiai folyosók </w:t>
      </w:r>
      <w:r w:rsidR="00FD6FD2" w:rsidRPr="00490355">
        <w:t>helyreállításának és kezelésének elősegítése</w:t>
      </w:r>
    </w:p>
    <w:p w:rsidR="00CE123D" w:rsidRPr="00490355" w:rsidRDefault="00FD6FD2" w:rsidP="00D9377E">
      <w:pPr>
        <w:ind w:left="708"/>
        <w:jc w:val="both"/>
      </w:pPr>
      <w:r w:rsidRPr="00490355">
        <w:t xml:space="preserve">2.4. </w:t>
      </w:r>
      <w:r w:rsidR="00CF3C2E" w:rsidRPr="00490355">
        <w:t xml:space="preserve"> </w:t>
      </w:r>
      <w:r w:rsidR="00F41E23" w:rsidRPr="00490355">
        <w:t>A k</w:t>
      </w:r>
      <w:r w:rsidR="006839DA" w:rsidRPr="00490355">
        <w:t>örnyezeti kockázatmenedzsment</w:t>
      </w:r>
      <w:r w:rsidR="00F41E23" w:rsidRPr="00490355">
        <w:t>tel kapcsolatos felkészültség fejlesztése</w:t>
      </w:r>
    </w:p>
    <w:p w:rsidR="001E4266" w:rsidRPr="00490355" w:rsidRDefault="00F41E23" w:rsidP="00D9377E">
      <w:pPr>
        <w:jc w:val="both"/>
      </w:pPr>
      <w:r w:rsidRPr="00490355">
        <w:t>3 – J</w:t>
      </w:r>
      <w:r w:rsidR="001E4266" w:rsidRPr="00490355">
        <w:t>obb</w:t>
      </w:r>
      <w:r w:rsidRPr="00490355">
        <w:t>an összekapcsolt és energetikailag felelős Duna Régió</w:t>
      </w:r>
    </w:p>
    <w:p w:rsidR="00F41E23" w:rsidRPr="00D10598" w:rsidRDefault="00F41E23" w:rsidP="00D9377E">
      <w:pPr>
        <w:ind w:left="708"/>
        <w:jc w:val="both"/>
      </w:pPr>
      <w:r w:rsidRPr="00490355">
        <w:t xml:space="preserve">3.1. </w:t>
      </w:r>
      <w:r w:rsidR="009E230F" w:rsidRPr="00490355">
        <w:t xml:space="preserve">A környezetbarát és biztonságos közlekedési rendszerek, valamint a városi és </w:t>
      </w:r>
      <w:proofErr w:type="spellStart"/>
      <w:r w:rsidR="009E230F" w:rsidRPr="00490355">
        <w:t>rurális</w:t>
      </w:r>
      <w:proofErr w:type="spellEnd"/>
      <w:r w:rsidR="009E230F" w:rsidRPr="00490355">
        <w:t xml:space="preserve"> területek </w:t>
      </w:r>
      <w:r w:rsidR="009E230F" w:rsidRPr="00D10598">
        <w:t>kiegyens</w:t>
      </w:r>
      <w:r w:rsidR="00490355" w:rsidRPr="00D10598">
        <w:t>úlyozott hozzáfér</w:t>
      </w:r>
      <w:r w:rsidR="009E230F" w:rsidRPr="00D10598">
        <w:t>hetőségének támogatás</w:t>
      </w:r>
      <w:r w:rsidR="00490355" w:rsidRPr="00D10598">
        <w:t>a</w:t>
      </w:r>
    </w:p>
    <w:p w:rsidR="00490355" w:rsidRPr="00D10598" w:rsidRDefault="00490355" w:rsidP="00D9377E">
      <w:pPr>
        <w:ind w:left="708"/>
        <w:jc w:val="both"/>
      </w:pPr>
      <w:r w:rsidRPr="00D10598">
        <w:t xml:space="preserve">3.2. </w:t>
      </w:r>
      <w:r w:rsidR="00387B6D" w:rsidRPr="00D10598">
        <w:t>Az energiabiztonság és energiahatékonyság javítása</w:t>
      </w:r>
    </w:p>
    <w:p w:rsidR="001E4266" w:rsidRPr="00D10598" w:rsidRDefault="001E4266" w:rsidP="00D9377E">
      <w:pPr>
        <w:jc w:val="both"/>
      </w:pPr>
      <w:r w:rsidRPr="00D10598">
        <w:t>4 – Intézményi együttműködés a Duna Régióban</w:t>
      </w:r>
    </w:p>
    <w:p w:rsidR="00387B6D" w:rsidRPr="00D10598" w:rsidRDefault="00387B6D" w:rsidP="00D9377E">
      <w:pPr>
        <w:ind w:left="708"/>
        <w:jc w:val="both"/>
      </w:pPr>
      <w:r w:rsidRPr="00D10598">
        <w:t>4.1. Az intézményi kapacitás fejlesztése</w:t>
      </w:r>
      <w:r w:rsidR="00D10598" w:rsidRPr="00D10598">
        <w:t xml:space="preserve"> a legfontosabb</w:t>
      </w:r>
      <w:r w:rsidRPr="00D10598">
        <w:t xml:space="preserve"> társadalmi kihívások kezelése érdekében</w:t>
      </w:r>
    </w:p>
    <w:p w:rsidR="00D10598" w:rsidRDefault="00D10598" w:rsidP="00D9377E">
      <w:pPr>
        <w:ind w:left="708"/>
        <w:jc w:val="both"/>
      </w:pPr>
      <w:r w:rsidRPr="00D10598">
        <w:t>4.2. A Duna Stratégia (EUSDR) megvalósításának támogatása</w:t>
      </w:r>
    </w:p>
    <w:p w:rsidR="00530870" w:rsidRDefault="00530870" w:rsidP="00D9377E">
      <w:pPr>
        <w:jc w:val="both"/>
      </w:pPr>
      <w:r>
        <w:rPr>
          <w:b/>
        </w:rPr>
        <w:t xml:space="preserve">Költségvetés: </w:t>
      </w:r>
      <w:r w:rsidRPr="00530870">
        <w:t>221 924 597 EUR (</w:t>
      </w:r>
      <w:r>
        <w:t>ERDF: 202 095 405 EUR, IPA: 19 829 192 EUR)</w:t>
      </w:r>
    </w:p>
    <w:p w:rsidR="00530870" w:rsidRDefault="00530870" w:rsidP="00AE7B9F">
      <w:pPr>
        <w:pStyle w:val="Listaszerbekezds"/>
        <w:numPr>
          <w:ilvl w:val="0"/>
          <w:numId w:val="3"/>
        </w:numPr>
      </w:pPr>
      <w:r>
        <w:t>P1: kb. 28%</w:t>
      </w:r>
    </w:p>
    <w:p w:rsidR="00530870" w:rsidRDefault="00530870" w:rsidP="00AE7B9F">
      <w:pPr>
        <w:pStyle w:val="Listaszerbekezds"/>
        <w:numPr>
          <w:ilvl w:val="0"/>
          <w:numId w:val="3"/>
        </w:numPr>
      </w:pPr>
      <w:r>
        <w:t>P2: kb. 32%</w:t>
      </w:r>
    </w:p>
    <w:p w:rsidR="00530870" w:rsidRDefault="00530870" w:rsidP="00AE7B9F">
      <w:pPr>
        <w:pStyle w:val="Listaszerbekezds"/>
        <w:numPr>
          <w:ilvl w:val="0"/>
          <w:numId w:val="3"/>
        </w:numPr>
      </w:pPr>
      <w:r>
        <w:t>P3:</w:t>
      </w:r>
      <w:r w:rsidR="00183EB4">
        <w:t xml:space="preserve"> kb. 21%</w:t>
      </w:r>
    </w:p>
    <w:p w:rsidR="00530870" w:rsidRDefault="00530870" w:rsidP="00AE7B9F">
      <w:pPr>
        <w:pStyle w:val="Listaszerbekezds"/>
        <w:numPr>
          <w:ilvl w:val="0"/>
          <w:numId w:val="3"/>
        </w:numPr>
      </w:pPr>
      <w:r>
        <w:t>P4:</w:t>
      </w:r>
      <w:r w:rsidR="00183EB4">
        <w:t xml:space="preserve"> kb. 13%</w:t>
      </w:r>
    </w:p>
    <w:p w:rsidR="00530870" w:rsidRDefault="00530870" w:rsidP="00AE7B9F">
      <w:pPr>
        <w:pStyle w:val="Listaszerbekezds"/>
        <w:numPr>
          <w:ilvl w:val="0"/>
          <w:numId w:val="3"/>
        </w:numPr>
      </w:pPr>
      <w:r>
        <w:t>P5 (Technikai segítségnyújtás):</w:t>
      </w:r>
      <w:r w:rsidR="00183EB4">
        <w:t xml:space="preserve"> kb. 6%</w:t>
      </w:r>
    </w:p>
    <w:p w:rsidR="00AD1E0A" w:rsidRDefault="00AD1E0A" w:rsidP="00D9377E">
      <w:pPr>
        <w:jc w:val="both"/>
      </w:pPr>
      <w:r>
        <w:t xml:space="preserve">A projektekkel szemben alapvető elvárás, hogy hozzájáruljanak legalább 2 program </w:t>
      </w:r>
      <w:r w:rsidRPr="00AE34EF">
        <w:t>indikátor</w:t>
      </w:r>
      <w:r w:rsidR="00AE34EF">
        <w:t xml:space="preserve"> </w:t>
      </w:r>
      <w:r>
        <w:t>teljesítéséhez</w:t>
      </w:r>
      <w:r w:rsidR="00223D0B">
        <w:t xml:space="preserve"> (maximum 5 programszintű indikátort lehet megjelölni projektenként)</w:t>
      </w:r>
      <w:r>
        <w:t>. A projektek kapcsolódását a Duna Stratégiá</w:t>
      </w:r>
      <w:r w:rsidR="00D9377E">
        <w:t>hoz egyértelműen igazolni kell</w:t>
      </w:r>
      <w:proofErr w:type="gramStart"/>
      <w:r w:rsidR="00D9377E">
        <w:t>.</w:t>
      </w:r>
      <w:r w:rsidR="00AE34EF">
        <w:t>:</w:t>
      </w:r>
      <w:proofErr w:type="gramEnd"/>
      <w:r w:rsidR="00AE34EF">
        <w:t xml:space="preserve"> </w:t>
      </w:r>
      <w:hyperlink r:id="rId7" w:history="1">
        <w:r w:rsidR="00AE34EF">
          <w:rPr>
            <w:rStyle w:val="Hiperhivatkozs"/>
          </w:rPr>
          <w:t>http://www.interreg-danube.eu/calls/calls-for-proposals/first-call</w:t>
        </w:r>
      </w:hyperlink>
      <w:bookmarkStart w:id="0" w:name="_GoBack"/>
      <w:bookmarkEnd w:id="0"/>
    </w:p>
    <w:p w:rsidR="00152AE1" w:rsidRDefault="00152AE1" w:rsidP="00D9377E">
      <w:pPr>
        <w:jc w:val="both"/>
        <w:rPr>
          <w:b/>
        </w:rPr>
      </w:pPr>
      <w:r>
        <w:t>Bármelyik prioritás alá tartozik a projekt, a fenntarthatóság kérdésköre meg kell, hogy jelenjen a tevékenységekben. A kiírás arra buzdít, hogy a projektek törekedjenek a környezeti problémák enyhítésére és az ökológiai lábnyom csökkentésére. További horizontális aspektusok: egyenlő lehetőségek és non-diszkrimináció, nemek közötti egyenlőség.</w:t>
      </w:r>
    </w:p>
    <w:p w:rsidR="00EE5484" w:rsidRDefault="00EE5484" w:rsidP="00D9377E">
      <w:pPr>
        <w:jc w:val="both"/>
      </w:pPr>
      <w:r w:rsidRPr="003905FC">
        <w:rPr>
          <w:b/>
        </w:rPr>
        <w:t>A transznacionális projektek jellegzetessége</w:t>
      </w:r>
      <w:r>
        <w:t xml:space="preserve">: Az együttműködéseknek – a programok fenti célkitűzéséből adódóan – olyan kérdésekkel kell foglalkozniuk, amelyek esetében a </w:t>
      </w:r>
      <w:r w:rsidRPr="003905FC">
        <w:rPr>
          <w:b/>
        </w:rPr>
        <w:t>közös munka hozzáadott értékkel bír</w:t>
      </w:r>
      <w:r>
        <w:t xml:space="preserve"> ahhoz képest, mintha az adott ügyet a programban résztvevő országok partnerei külön-külön, nemzeti szinten kívánnák megoldani. Minthogy a projektek célja a megoldások közös keresése, de nem a „megoldás” megvalósítása, a projektek </w:t>
      </w:r>
      <w:r w:rsidRPr="003905FC">
        <w:rPr>
          <w:b/>
        </w:rPr>
        <w:t xml:space="preserve">leginkább tervezési, kutatási, </w:t>
      </w:r>
      <w:r w:rsidRPr="003905FC">
        <w:rPr>
          <w:b/>
        </w:rPr>
        <w:lastRenderedPageBreak/>
        <w:t>szakmai együttműködési jellegűek</w:t>
      </w:r>
      <w:r>
        <w:t>, melyek indokolt esetben kisebb kivitelezési elemeket is magukban foglalhatnak. Fentiekből adódóan a programok támogatják, hogy a közös munka későbbi – már nem e programokból finanszírozott – beruházásokat indukáljon. E cél elérése érdekében az együttműködéseknek (figyelembe véve az elszámolható költségtípusok által meghatározott korlátokat) minél inkább törekedni kell a projekt-eredmények konkrétságára, további területfejlesztési akciókat, konkrét beruházásokat előkészítő jellegére.</w:t>
      </w:r>
      <w:r w:rsidR="008952C2">
        <w:t xml:space="preserve"> Kizárólag akadémiai együttműködésre és alapkutatásra fókuszáló projekteket nem támogat a program.</w:t>
      </w:r>
      <w:r w:rsidR="00940A6B">
        <w:t xml:space="preserve"> A program támogatja a hasonló témájú projektek közötti </w:t>
      </w:r>
    </w:p>
    <w:p w:rsidR="00EE5484" w:rsidRDefault="00EE5484" w:rsidP="00D9377E">
      <w:pPr>
        <w:jc w:val="both"/>
      </w:pPr>
      <w:r w:rsidRPr="003905FC">
        <w:rPr>
          <w:b/>
        </w:rPr>
        <w:t>Jogosult partnerek:</w:t>
      </w:r>
      <w:r>
        <w:t xml:space="preserve"> A programok elsődleges </w:t>
      </w:r>
      <w:r w:rsidRPr="00E6471F">
        <w:t xml:space="preserve">célcsoportját az adott programterületen bejegyzett, jogi személyiséggel rendelkező, non-profit jelleggel valamilyen </w:t>
      </w:r>
      <w:r w:rsidRPr="00D9377E">
        <w:rPr>
          <w:b/>
        </w:rPr>
        <w:t>közcél érdekében tevékenykedő szervezetek</w:t>
      </w:r>
      <w:r w:rsidRPr="00E6471F">
        <w:t xml:space="preserve"> jelentik (közintézmények, területi tervező- oktató- kutató-intézetek, civil szervezetek,</w:t>
      </w:r>
      <w:r w:rsidR="00B0052A" w:rsidRPr="00E6471F">
        <w:t xml:space="preserve"> nemzetközi szervezetek, </w:t>
      </w:r>
      <w:proofErr w:type="spellStart"/>
      <w:r w:rsidRPr="00E6471F">
        <w:t>stb</w:t>
      </w:r>
      <w:proofErr w:type="spellEnd"/>
      <w:r w:rsidRPr="00E6471F">
        <w:t xml:space="preserve">). </w:t>
      </w:r>
      <w:r w:rsidR="00D55D98" w:rsidRPr="00E6471F">
        <w:t xml:space="preserve">A Duna Program </w:t>
      </w:r>
      <w:r w:rsidR="00D55D98" w:rsidRPr="00D9377E">
        <w:rPr>
          <w:b/>
        </w:rPr>
        <w:t>lehetővé teszi</w:t>
      </w:r>
      <w:r w:rsidRPr="00D9377E">
        <w:rPr>
          <w:b/>
        </w:rPr>
        <w:t xml:space="preserve"> profitorientált intézmény</w:t>
      </w:r>
      <w:r w:rsidR="00E6471F" w:rsidRPr="00D9377E">
        <w:rPr>
          <w:b/>
        </w:rPr>
        <w:t>ek bevonását is a partnerségbe, azonban vezető partner nem lehet magánvállalkozás</w:t>
      </w:r>
      <w:r w:rsidR="00E6471F" w:rsidRPr="00E6471F">
        <w:t>. Kizárólag a programterület EU-tagállamaiban bejegyzett magánvállalkozás szerepelhet a partnerségben.</w:t>
      </w:r>
      <w:r w:rsidR="002332FC">
        <w:t xml:space="preserve"> Olyan magántulajdonban lévő szervezetek, amelyek fő profilja a projektmenedzsment, kommunikáció vagy pénzügyi monitoring, nem szerepelhetnek a partnerségben, kizárólag alvállalkozóként dolgozhatnak a projekten.</w:t>
      </w:r>
    </w:p>
    <w:p w:rsidR="005971D7" w:rsidRDefault="005971D7" w:rsidP="00D9377E">
      <w:pPr>
        <w:jc w:val="both"/>
      </w:pPr>
      <w:r>
        <w:t>Olyan ukrán és német szervezetek is részesülhetnek támogatásban, amelyek nem a programterületre vannak bejegyezve, azonban tevékenységüket a programterületen is kifejtik (pl. állami ügynökségek, nemzeti kutatóintézetek, állami minisztériumok, stb.).</w:t>
      </w:r>
    </w:p>
    <w:p w:rsidR="005971D7" w:rsidRDefault="005971D7" w:rsidP="00D9377E">
      <w:pPr>
        <w:jc w:val="both"/>
      </w:pPr>
      <w:proofErr w:type="spellStart"/>
      <w:r>
        <w:t>Associated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: Olyan partnerek, amelyek nem közvetlenül, hanem valamelyik ERDF projektpartneren keresztül részesülnek finanszírozásban. Példa lehet erre egy minisztérium, amely nem kíván részt venni a pályázással kapcsolatos adminisztratív folyamatokban, azonban részvétele a projekttevékenységben nélkülözhetetlen a projekt eredmények hasznosulása szempontjából. A projektben </w:t>
      </w:r>
      <w:proofErr w:type="spellStart"/>
      <w:r>
        <w:t>ASP-ként</w:t>
      </w:r>
      <w:proofErr w:type="spellEnd"/>
      <w:r>
        <w:t xml:space="preserve"> EU tagállamokban, vagy nem EU-tagállamban, de a programterületen bejegyzett szervezetek vehetnek részt.</w:t>
      </w:r>
      <w:r w:rsidR="00982ED6">
        <w:t xml:space="preserve"> </w:t>
      </w:r>
      <w:proofErr w:type="spellStart"/>
      <w:r w:rsidR="00982ED6">
        <w:t>ASP-k</w:t>
      </w:r>
      <w:proofErr w:type="spellEnd"/>
      <w:r w:rsidR="00982ED6">
        <w:t xml:space="preserve"> esetében az utazási és szállásköltségek számolhatóak el.</w:t>
      </w:r>
    </w:p>
    <w:p w:rsidR="00EE5484" w:rsidRDefault="00EE5484" w:rsidP="00D9377E">
      <w:pPr>
        <w:jc w:val="both"/>
      </w:pPr>
      <w:r w:rsidRPr="003905FC">
        <w:rPr>
          <w:b/>
        </w:rPr>
        <w:t>Minimális partnerszám:</w:t>
      </w:r>
      <w:r>
        <w:t xml:space="preserve"> </w:t>
      </w:r>
      <w:r w:rsidRPr="00D0236C">
        <w:t xml:space="preserve">Legalább </w:t>
      </w:r>
      <w:r w:rsidRPr="00D9377E">
        <w:rPr>
          <w:b/>
        </w:rPr>
        <w:t>3 partner a progra</w:t>
      </w:r>
      <w:r w:rsidR="00D0236C" w:rsidRPr="00D9377E">
        <w:rPr>
          <w:b/>
        </w:rPr>
        <w:t>mtér három különböző országából</w:t>
      </w:r>
      <w:r w:rsidR="00D0236C" w:rsidRPr="00D0236C">
        <w:t xml:space="preserve"> (ebből legalább egy valamelyik résztvevő EU-tagállamból).</w:t>
      </w:r>
      <w:r w:rsidR="009C1BEE">
        <w:t xml:space="preserve"> Maximális partnerszám nincs meghatározva.</w:t>
      </w:r>
    </w:p>
    <w:p w:rsidR="00EE5484" w:rsidRDefault="00EE5484" w:rsidP="00D9377E">
      <w:pPr>
        <w:jc w:val="both"/>
      </w:pPr>
      <w:r>
        <w:t>A transznacionális programok eddigi tapasztalatai alapján a pro</w:t>
      </w:r>
      <w:r w:rsidR="009C1BEE">
        <w:t>jektek átlagos partnerszáma 8-15 partner 6-8</w:t>
      </w:r>
      <w:r>
        <w:t xml:space="preserve"> országból, amit a transznacionális projektek azon általános célja indokol, hogy a projektek a teljes programtér – vagy annak nagy része – számára releváns problémával foglalkozzanak.</w:t>
      </w:r>
      <w:r w:rsidR="00FB48D4">
        <w:t xml:space="preserve"> Előnyben részesítik a különböző szektorokból és az irányítás különböző szintjeiről </w:t>
      </w:r>
      <w:r w:rsidR="00152AE1">
        <w:t>érkező partnerek együttműködését.</w:t>
      </w:r>
    </w:p>
    <w:p w:rsidR="00EE5484" w:rsidRDefault="00EE5484" w:rsidP="00D9377E">
      <w:pPr>
        <w:jc w:val="both"/>
      </w:pPr>
      <w:r w:rsidRPr="003905FC">
        <w:rPr>
          <w:b/>
        </w:rPr>
        <w:t>Vezető partner elv:</w:t>
      </w:r>
      <w:r>
        <w:t xml:space="preserve"> A projekt-partnerek egyike vállalja a vezető partner szerepét. Feladata a pályázat készítésének és a projekt végrehajtásának szakmai és pénzügyi koordinációja. Jogilag képviseli a projekt-partnereket a program felé (aláírja a támogatási szerződést a partnerek képviseletében).</w:t>
      </w:r>
      <w:r w:rsidR="006B7716">
        <w:t xml:space="preserve"> Kizárólag az ERDF partnerek közül kerülhet ki, nem változhat meg a pályázatírás 2 lépcsője között.</w:t>
      </w:r>
    </w:p>
    <w:p w:rsidR="00EE5484" w:rsidRDefault="00EE5484" w:rsidP="00D9377E">
      <w:pPr>
        <w:jc w:val="both"/>
      </w:pPr>
      <w:r w:rsidRPr="001701B9">
        <w:rPr>
          <w:b/>
        </w:rPr>
        <w:t>Projektek időtartama:</w:t>
      </w:r>
      <w:r w:rsidRPr="001701B9">
        <w:t xml:space="preserve"> a </w:t>
      </w:r>
      <w:r w:rsidR="001701B9" w:rsidRPr="001701B9">
        <w:t>maximális projekt időtartam 30 hónap</w:t>
      </w:r>
      <w:r w:rsidR="001701B9">
        <w:t>. A projekt zárását egy 5</w:t>
      </w:r>
      <w:r w:rsidR="00D45B0D" w:rsidRPr="001701B9">
        <w:t>éves fenntartási időszak</w:t>
      </w:r>
      <w:r w:rsidR="001701B9">
        <w:t xml:space="preserve"> követi.</w:t>
      </w:r>
    </w:p>
    <w:p w:rsidR="00EE5484" w:rsidRPr="000B132C" w:rsidRDefault="00EE5484" w:rsidP="00D9377E">
      <w:pPr>
        <w:jc w:val="both"/>
      </w:pPr>
      <w:r w:rsidRPr="003905FC">
        <w:rPr>
          <w:b/>
        </w:rPr>
        <w:t>Elszámolható költségek:</w:t>
      </w:r>
      <w:r>
        <w:t xml:space="preserve"> mu</w:t>
      </w:r>
      <w:r w:rsidRPr="00CC609F">
        <w:t xml:space="preserve">nkabér, külső szakértői díjak, </w:t>
      </w:r>
      <w:r w:rsidR="00CC609F">
        <w:t xml:space="preserve">szolgáltatási költségek, irodai és adminisztrációs költségek, </w:t>
      </w:r>
      <w:r w:rsidRPr="00CC609F">
        <w:t xml:space="preserve">utazás, szállás, a projekthez szorosan </w:t>
      </w:r>
      <w:r w:rsidRPr="00D72C9A">
        <w:t xml:space="preserve">kötődő beszerzés, </w:t>
      </w:r>
      <w:r w:rsidR="00CC609F" w:rsidRPr="00D72C9A">
        <w:t>infrastruktúra</w:t>
      </w:r>
      <w:r w:rsidRPr="00D72C9A">
        <w:t xml:space="preserve">. Az elszámolható </w:t>
      </w:r>
      <w:r w:rsidRPr="000B132C">
        <w:t>költségekkel kapcsolatos pontos szabályokat az aktuális pályázati felhívás rögzíti.</w:t>
      </w:r>
      <w:r w:rsidR="005D7C83">
        <w:t xml:space="preserve"> Projekt előkészítési költségek elszámolhatók (lump sum), de ennek összegét a 2. kör megjelenése előtt rögzítik.</w:t>
      </w:r>
    </w:p>
    <w:p w:rsidR="00EE5484" w:rsidRDefault="00EE5484" w:rsidP="00D9377E">
      <w:pPr>
        <w:jc w:val="both"/>
      </w:pPr>
      <w:r w:rsidRPr="000B132C">
        <w:rPr>
          <w:b/>
        </w:rPr>
        <w:lastRenderedPageBreak/>
        <w:t>Igényelhető támogatás:</w:t>
      </w:r>
      <w:r w:rsidRPr="000B132C">
        <w:t xml:space="preserve"> a javasolt teljes projekt-költségvetés általában 1</w:t>
      </w:r>
      <w:r w:rsidR="000B132C" w:rsidRPr="000B132C">
        <w:t>,2</w:t>
      </w:r>
      <w:r w:rsidRPr="000B132C">
        <w:t>-5 millió euró, indokolt esetben ettől eltérő is lehet.</w:t>
      </w:r>
    </w:p>
    <w:p w:rsidR="00D22AC6" w:rsidRDefault="00EE5484" w:rsidP="00D9377E">
      <w:pPr>
        <w:jc w:val="both"/>
      </w:pPr>
      <w:r w:rsidRPr="003905FC">
        <w:rPr>
          <w:b/>
        </w:rPr>
        <w:t>Támogatási intenzitás</w:t>
      </w:r>
      <w:r>
        <w:t xml:space="preserve">: a partnerek a projekttel kapcsolatban felmerült </w:t>
      </w:r>
      <w:r w:rsidRPr="00D9377E">
        <w:rPr>
          <w:b/>
        </w:rPr>
        <w:t xml:space="preserve">költségeik 85 %-ának megtérítésére jogosultak </w:t>
      </w:r>
      <w:r>
        <w:t xml:space="preserve">a program költségvetéséből. A programterület legtöbb országában ez kiegészül valamilyen mértékű nemzeti társfinanszírozással, az adott országból részt vevő projekt-partnerek támogatására. A 2007-2013-as időszakban a magyar partnerek a 85% támogatás mellé 10% (tisztán költségvetési forrásokból gazdálkodó szervezetek esetén 15%) automatikus nemzeti társfinanszírozásban is részesültek. Ezáltal a hazai partnerekre 5% önerő-teher hárult – valamint a program elszámolási rendjéből fakadóan a tervezett költségek körülbelül egy évre történő előfinanszírozásának kötelezettsége. </w:t>
      </w:r>
      <w:r w:rsidR="00D22AC6">
        <w:t>A tervek szerint a 2014-2020-as időszakban hasonló segítségre számíthatnak majd a hazai partnerek. Az ehhez kapcsolódó konkrét részletek és döntések előkészítés alatt állnak.</w:t>
      </w:r>
    </w:p>
    <w:p w:rsidR="00D22AC6" w:rsidRDefault="00D22AC6" w:rsidP="00D9377E">
      <w:pPr>
        <w:jc w:val="both"/>
      </w:pPr>
      <w:r w:rsidRPr="00912687">
        <w:rPr>
          <w:b/>
        </w:rPr>
        <w:t>A projekt-végrehajtás és elszámolás rendje</w:t>
      </w:r>
      <w:r>
        <w:t xml:space="preserve">: A szerződéskötést követően a partnerek megkezdik a pályázatban vállalt feladatok végrehajtását. Hathavonta valamennyi partner szakmai előrehaladási jelentést készít, amelyben bemutatja az elmúlt félév tevékenységeit. A szakmai jelentést kiegészíti egy pénzügyi jelentéssel, amelyben </w:t>
      </w:r>
      <w:r w:rsidRPr="00223D0B">
        <w:t>felsorolja, hogy az elmúlt hat hónapban milyen költségei merültek fel a projekttel kapcsolatban és mellékeli a költségeket igazoló szá</w:t>
      </w:r>
      <w:r w:rsidR="00912687" w:rsidRPr="00223D0B">
        <w:t xml:space="preserve">mlákat és egyéb dokumentumokat. </w:t>
      </w:r>
      <w:r w:rsidRPr="00223D0B">
        <w:t>A partnerek félévi jelentéseit az adott országban működő ellenőrző hatóságokkal igazoltatni kell (</w:t>
      </w:r>
      <w:proofErr w:type="spellStart"/>
      <w:r w:rsidRPr="00223D0B">
        <w:t>first</w:t>
      </w:r>
      <w:proofErr w:type="spellEnd"/>
      <w:r w:rsidRPr="00223D0B">
        <w:t xml:space="preserve"> </w:t>
      </w:r>
      <w:proofErr w:type="spellStart"/>
      <w:r w:rsidRPr="00223D0B">
        <w:t>level</w:t>
      </w:r>
      <w:proofErr w:type="spellEnd"/>
      <w:r w:rsidRPr="00223D0B">
        <w:t xml:space="preserve"> </w:t>
      </w:r>
      <w:proofErr w:type="spellStart"/>
      <w:r w:rsidRPr="00223D0B">
        <w:t>control</w:t>
      </w:r>
      <w:proofErr w:type="spellEnd"/>
      <w:r w:rsidRPr="00223D0B">
        <w:t xml:space="preserve"> </w:t>
      </w:r>
      <w:proofErr w:type="spellStart"/>
      <w:r w:rsidRPr="00223D0B">
        <w:t>bodies</w:t>
      </w:r>
      <w:proofErr w:type="spellEnd"/>
      <w:r w:rsidRPr="00223D0B">
        <w:t>). Magyar partnerek esetében a jelentéseket várhatóan a Széchenyi Programiroda felelős egységével kell majd ellenőriztetni.</w:t>
      </w:r>
      <w:r>
        <w:t xml:space="preserve"> </w:t>
      </w:r>
    </w:p>
    <w:p w:rsidR="007462EA" w:rsidRDefault="007462EA" w:rsidP="00D9377E">
      <w:pPr>
        <w:jc w:val="both"/>
      </w:pPr>
      <w:r>
        <w:t>A projekt partnerek a kapott igazolást megküldik a vezető partnernek (az eredeti lepecsételt számlákat nem). A vezető partner összegyűjti valamennyi partnertől a helyi nemzeti ellenőrző hatóság által kiállított nyilatkozatokat, összesíti az eltelt félév kiadásait, majd leadja a program közös titkárságán. Az összesített elszámolás alapján a program utólag megtéríti a jogos költségekre jutó támogatást (85%). A vezető partner megküldi a partne</w:t>
      </w:r>
      <w:r w:rsidR="000A7AEA">
        <w:t xml:space="preserve">reknek a nekik járó támogatást. </w:t>
      </w:r>
      <w:r>
        <w:t xml:space="preserve">Az eddigi tapasztalatok azt mutatják, hogy az elszámolási időszak </w:t>
      </w:r>
      <w:proofErr w:type="spellStart"/>
      <w:r>
        <w:t>lezárultát</w:t>
      </w:r>
      <w:proofErr w:type="spellEnd"/>
      <w:r>
        <w:t xml:space="preserve"> követően 3-4 hónappal érkezik meg a támogatás. Ez alapján a partner likviditásának tervezésekor számítani kell rá, hogy egyes költségek felmerülésé</w:t>
      </w:r>
      <w:r w:rsidR="00C972DE">
        <w:t xml:space="preserve">től a támogatás megérkezéséig </w:t>
      </w:r>
      <w:r>
        <w:t>10 hónap is eltelhet.</w:t>
      </w:r>
    </w:p>
    <w:p w:rsidR="004B4CDB" w:rsidRDefault="004B4CDB" w:rsidP="00D9377E">
      <w:pPr>
        <w:jc w:val="both"/>
      </w:pPr>
      <w:r>
        <w:t xml:space="preserve">A DUNA Transznacionális Program </w:t>
      </w:r>
      <w:r w:rsidRPr="007D0A77">
        <w:rPr>
          <w:b/>
        </w:rPr>
        <w:t>központi irányítási szervei</w:t>
      </w:r>
      <w:r>
        <w:t xml:space="preserve"> Magyarországon kerültek felállításra:</w:t>
      </w:r>
    </w:p>
    <w:p w:rsidR="004B4CDB" w:rsidRDefault="004B4CDB" w:rsidP="00D9377E">
      <w:pPr>
        <w:pStyle w:val="Listaszerbekezds"/>
        <w:numPr>
          <w:ilvl w:val="0"/>
          <w:numId w:val="1"/>
        </w:numPr>
        <w:jc w:val="both"/>
      </w:pPr>
      <w:r>
        <w:t>Irány</w:t>
      </w:r>
      <w:r w:rsidR="007D0A77">
        <w:t xml:space="preserve">ító Hatóság és Közös Titkárság: Nemzetgazdasági Minisztériumon </w:t>
      </w:r>
      <w:r>
        <w:t>belül funkcionálisan elkülönített szerv</w:t>
      </w:r>
    </w:p>
    <w:p w:rsidR="004B4CDB" w:rsidRDefault="007D0A77" w:rsidP="00D9377E">
      <w:pPr>
        <w:pStyle w:val="Listaszerbekezds"/>
        <w:numPr>
          <w:ilvl w:val="0"/>
          <w:numId w:val="1"/>
        </w:numPr>
        <w:jc w:val="both"/>
      </w:pPr>
      <w:r>
        <w:t xml:space="preserve">Igazoló Hatóság: </w:t>
      </w:r>
      <w:r w:rsidR="004B4CDB">
        <w:t>Magyar Államkincstár</w:t>
      </w:r>
    </w:p>
    <w:p w:rsidR="008313C9" w:rsidRDefault="007D0A77" w:rsidP="00D9377E">
      <w:pPr>
        <w:pStyle w:val="Listaszerbekezds"/>
        <w:numPr>
          <w:ilvl w:val="0"/>
          <w:numId w:val="1"/>
        </w:numPr>
        <w:jc w:val="both"/>
      </w:pPr>
      <w:r>
        <w:t xml:space="preserve">Audit Hatóság: </w:t>
      </w:r>
      <w:r w:rsidR="004B4CDB">
        <w:t xml:space="preserve">Európai Támogatásokat </w:t>
      </w:r>
      <w:proofErr w:type="spellStart"/>
      <w:r w:rsidR="004B4CDB">
        <w:t>Auditáló</w:t>
      </w:r>
      <w:proofErr w:type="spellEnd"/>
      <w:r w:rsidR="004B4CDB">
        <w:t xml:space="preserve"> Főigazgatóság</w:t>
      </w:r>
    </w:p>
    <w:p w:rsidR="00D22AC6" w:rsidRDefault="00D22AC6" w:rsidP="00EE5484"/>
    <w:p w:rsidR="00B95AFC" w:rsidRPr="00DD7A77" w:rsidRDefault="000A7AEA" w:rsidP="00B95AFC">
      <w:pPr>
        <w:rPr>
          <w:b/>
        </w:rPr>
      </w:pPr>
      <w:r w:rsidRPr="00DD7A77">
        <w:rPr>
          <w:b/>
        </w:rPr>
        <w:t>Nemzeti Kapcsolattartó Pont:</w:t>
      </w:r>
    </w:p>
    <w:p w:rsidR="00DD7A77" w:rsidRPr="00AA09EE" w:rsidRDefault="00DD7A77" w:rsidP="00DD7A77">
      <w:pPr>
        <w:pStyle w:val="Default"/>
        <w:rPr>
          <w:rFonts w:asciiTheme="minorHAnsi" w:hAnsiTheme="minorHAnsi"/>
          <w:sz w:val="22"/>
          <w:szCs w:val="22"/>
        </w:rPr>
      </w:pPr>
      <w:r w:rsidRPr="00AA09EE">
        <w:rPr>
          <w:rFonts w:asciiTheme="minorHAnsi" w:hAnsiTheme="minorHAnsi"/>
          <w:bCs/>
          <w:sz w:val="22"/>
          <w:szCs w:val="22"/>
        </w:rPr>
        <w:t xml:space="preserve">Hegyesi Béla </w:t>
      </w:r>
      <w:r w:rsidRPr="00AA09EE">
        <w:rPr>
          <w:rFonts w:asciiTheme="minorHAnsi" w:hAnsiTheme="minorHAnsi"/>
          <w:sz w:val="22"/>
          <w:szCs w:val="22"/>
        </w:rPr>
        <w:t xml:space="preserve">(NGM) </w:t>
      </w:r>
    </w:p>
    <w:p w:rsidR="00DD7A77" w:rsidRPr="00AA09EE" w:rsidRDefault="00DD7A77" w:rsidP="00DD7A77">
      <w:pPr>
        <w:pStyle w:val="Default"/>
        <w:rPr>
          <w:rFonts w:asciiTheme="minorHAnsi" w:hAnsiTheme="minorHAnsi"/>
          <w:sz w:val="22"/>
          <w:szCs w:val="22"/>
        </w:rPr>
      </w:pPr>
      <w:r w:rsidRPr="00AA09EE">
        <w:rPr>
          <w:rFonts w:asciiTheme="minorHAnsi" w:hAnsiTheme="minorHAnsi"/>
          <w:sz w:val="22"/>
          <w:szCs w:val="22"/>
        </w:rPr>
        <w:t xml:space="preserve">06 1 224 32 74 </w:t>
      </w:r>
    </w:p>
    <w:p w:rsidR="00DD7A77" w:rsidRPr="00AA09EE" w:rsidRDefault="00DD7A77" w:rsidP="00DD7A77">
      <w:pPr>
        <w:pStyle w:val="Default"/>
        <w:rPr>
          <w:rFonts w:asciiTheme="minorHAnsi" w:hAnsiTheme="minorHAnsi"/>
          <w:sz w:val="22"/>
          <w:szCs w:val="22"/>
        </w:rPr>
      </w:pPr>
      <w:r w:rsidRPr="00AA09EE">
        <w:rPr>
          <w:rFonts w:asciiTheme="minorHAnsi" w:hAnsiTheme="minorHAnsi"/>
          <w:sz w:val="22"/>
          <w:szCs w:val="22"/>
        </w:rPr>
        <w:t xml:space="preserve">06 30 475 85 73 </w:t>
      </w:r>
    </w:p>
    <w:p w:rsidR="00DD7A77" w:rsidRDefault="00DD7A77" w:rsidP="00DD7A77">
      <w:proofErr w:type="gramStart"/>
      <w:r w:rsidRPr="00AA09EE">
        <w:t>bela.hegyesi@ngm.gov.hu</w:t>
      </w:r>
      <w:proofErr w:type="gramEnd"/>
      <w:r w:rsidRPr="00AA09EE">
        <w:t xml:space="preserve"> </w:t>
      </w:r>
    </w:p>
    <w:p w:rsidR="003C77FF" w:rsidRDefault="003C77FF" w:rsidP="00DD7A77"/>
    <w:p w:rsidR="003C77FF" w:rsidRPr="00AA09EE" w:rsidRDefault="003C77FF" w:rsidP="00DD7A77"/>
    <w:sectPr w:rsidR="003C77FF" w:rsidRPr="00AA0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910F7"/>
    <w:multiLevelType w:val="hybridMultilevel"/>
    <w:tmpl w:val="EB5CDD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27ECA"/>
    <w:multiLevelType w:val="multilevel"/>
    <w:tmpl w:val="C6706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E4668C8"/>
    <w:multiLevelType w:val="hybridMultilevel"/>
    <w:tmpl w:val="1DD86A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C9"/>
    <w:rsid w:val="000A7AEA"/>
    <w:rsid w:val="000B132C"/>
    <w:rsid w:val="001120C9"/>
    <w:rsid w:val="00152AE1"/>
    <w:rsid w:val="001701B9"/>
    <w:rsid w:val="00183EB4"/>
    <w:rsid w:val="001A77AC"/>
    <w:rsid w:val="001E4266"/>
    <w:rsid w:val="00223D0B"/>
    <w:rsid w:val="002332FC"/>
    <w:rsid w:val="003216A8"/>
    <w:rsid w:val="0037767E"/>
    <w:rsid w:val="00387B6D"/>
    <w:rsid w:val="003905FC"/>
    <w:rsid w:val="003A45EC"/>
    <w:rsid w:val="003C77FF"/>
    <w:rsid w:val="00490355"/>
    <w:rsid w:val="004B4CDB"/>
    <w:rsid w:val="00530870"/>
    <w:rsid w:val="005971D7"/>
    <w:rsid w:val="005D7C83"/>
    <w:rsid w:val="006839DA"/>
    <w:rsid w:val="006B7716"/>
    <w:rsid w:val="006D0681"/>
    <w:rsid w:val="0074582F"/>
    <w:rsid w:val="007462EA"/>
    <w:rsid w:val="0075541E"/>
    <w:rsid w:val="00786574"/>
    <w:rsid w:val="007B5730"/>
    <w:rsid w:val="007C5655"/>
    <w:rsid w:val="007D0A77"/>
    <w:rsid w:val="007F3A64"/>
    <w:rsid w:val="008313C9"/>
    <w:rsid w:val="008871BB"/>
    <w:rsid w:val="008952C2"/>
    <w:rsid w:val="00912687"/>
    <w:rsid w:val="00940A6B"/>
    <w:rsid w:val="00952669"/>
    <w:rsid w:val="00977D64"/>
    <w:rsid w:val="00982ED6"/>
    <w:rsid w:val="009C1BEE"/>
    <w:rsid w:val="009C4D48"/>
    <w:rsid w:val="009E230F"/>
    <w:rsid w:val="00AA09EE"/>
    <w:rsid w:val="00AD1E0A"/>
    <w:rsid w:val="00AE34EF"/>
    <w:rsid w:val="00AE7B9F"/>
    <w:rsid w:val="00B0052A"/>
    <w:rsid w:val="00B14321"/>
    <w:rsid w:val="00B5782F"/>
    <w:rsid w:val="00B95AFC"/>
    <w:rsid w:val="00BB3957"/>
    <w:rsid w:val="00C0374E"/>
    <w:rsid w:val="00C0395B"/>
    <w:rsid w:val="00C12587"/>
    <w:rsid w:val="00C573E1"/>
    <w:rsid w:val="00C972DE"/>
    <w:rsid w:val="00CC609F"/>
    <w:rsid w:val="00CE123D"/>
    <w:rsid w:val="00CF3C2E"/>
    <w:rsid w:val="00D0236C"/>
    <w:rsid w:val="00D10598"/>
    <w:rsid w:val="00D22AC6"/>
    <w:rsid w:val="00D45B0D"/>
    <w:rsid w:val="00D54EE6"/>
    <w:rsid w:val="00D55D98"/>
    <w:rsid w:val="00D72C9A"/>
    <w:rsid w:val="00D9377E"/>
    <w:rsid w:val="00DD7A77"/>
    <w:rsid w:val="00E259DA"/>
    <w:rsid w:val="00E6471F"/>
    <w:rsid w:val="00E90058"/>
    <w:rsid w:val="00EA0598"/>
    <w:rsid w:val="00EE5484"/>
    <w:rsid w:val="00F41E23"/>
    <w:rsid w:val="00F43196"/>
    <w:rsid w:val="00F873EA"/>
    <w:rsid w:val="00F9512D"/>
    <w:rsid w:val="00F96B59"/>
    <w:rsid w:val="00FB48D4"/>
    <w:rsid w:val="00FC0412"/>
    <w:rsid w:val="00FD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CF28F-DF33-4858-92A6-C941BC85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4582F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D0A77"/>
    <w:pPr>
      <w:ind w:left="720"/>
      <w:contextualSpacing/>
    </w:pPr>
  </w:style>
  <w:style w:type="paragraph" w:customStyle="1" w:styleId="Default">
    <w:name w:val="Default"/>
    <w:rsid w:val="00DD7A7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F951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terreg-danube.eu/calls/calls-for-proposals/first-c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interreg-danube.eu/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1376</Words>
  <Characters>9502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Csanaky Lilla</dc:creator>
  <cp:keywords/>
  <dc:description/>
  <cp:lastModifiedBy>Göndöcsné Agócs Dóra</cp:lastModifiedBy>
  <cp:revision>4</cp:revision>
  <dcterms:created xsi:type="dcterms:W3CDTF">2015-09-09T07:42:00Z</dcterms:created>
  <dcterms:modified xsi:type="dcterms:W3CDTF">2015-09-09T07:51:00Z</dcterms:modified>
</cp:coreProperties>
</file>